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3" w:rightChars="-149"/>
        <w:jc w:val="both"/>
        <w:rPr>
          <w:rFonts w:hint="eastAsia"/>
          <w:highlight w:val="none"/>
        </w:rPr>
      </w:pPr>
    </w:p>
    <w:p>
      <w:pPr>
        <w:ind w:right="0"/>
        <w:jc w:val="both"/>
        <w:rPr>
          <w:rFonts w:hint="eastAsia" w:ascii="Times New Roman" w:hAnsi="Times New Roman" w:eastAsia="仿宋"/>
          <w:sz w:val="32"/>
          <w:szCs w:val="32"/>
          <w:highlight w:val="none"/>
          <w:lang w:val="en-US" w:eastAsia="zh-CN"/>
        </w:rPr>
      </w:pPr>
      <w:bookmarkStart w:id="14" w:name="_GoBack"/>
      <w:bookmarkEnd w:id="14"/>
      <w:r>
        <w:rPr>
          <w:rFonts w:hint="eastAsia" w:ascii="Times New Roman" w:hAnsi="Times New Roman" w:eastAsia="仿宋"/>
          <w:sz w:val="32"/>
          <w:szCs w:val="32"/>
          <w:highlight w:val="none"/>
          <w:lang w:val="en-US" w:eastAsia="zh-CN"/>
        </w:rPr>
        <w:t>附件：</w:t>
      </w:r>
      <w:r>
        <w:rPr>
          <w:rStyle w:val="9"/>
          <w:rFonts w:hint="eastAsia" w:ascii="仿宋" w:hAnsi="仿宋" w:eastAsia="仿宋" w:cs="仿宋"/>
          <w:sz w:val="32"/>
          <w:szCs w:val="32"/>
          <w:highlight w:val="none"/>
        </w:rPr>
        <w:t>中国互联网</w:t>
      </w:r>
      <w:r>
        <w:rPr>
          <w:rStyle w:val="9"/>
          <w:rFonts w:hint="eastAsia" w:ascii="仿宋" w:hAnsi="仿宋" w:eastAsia="仿宋" w:cs="仿宋"/>
          <w:sz w:val="32"/>
          <w:szCs w:val="32"/>
          <w:highlight w:val="none"/>
          <w:lang w:eastAsia="zh-CN"/>
        </w:rPr>
        <w:t>企业综合实力</w:t>
      </w:r>
      <w:r>
        <w:rPr>
          <w:rStyle w:val="9"/>
          <w:rFonts w:hint="eastAsia" w:ascii="仿宋" w:hAnsi="仿宋" w:eastAsia="仿宋" w:cs="仿宋"/>
          <w:sz w:val="32"/>
          <w:szCs w:val="32"/>
          <w:highlight w:val="none"/>
          <w:lang w:val="en-US" w:eastAsia="zh-CN"/>
        </w:rPr>
        <w:t>指数研究方法</w:t>
      </w:r>
    </w:p>
    <w:p>
      <w:pPr>
        <w:keepNext w:val="0"/>
        <w:keepLines w:val="0"/>
        <w:pageBreakBefore w:val="0"/>
        <w:widowControl w:val="0"/>
        <w:kinsoku/>
        <w:wordWrap/>
        <w:overflowPunct/>
        <w:topLinePunct w:val="0"/>
        <w:autoSpaceDE/>
        <w:autoSpaceDN/>
        <w:bidi w:val="0"/>
        <w:adjustRightInd/>
        <w:snapToGrid/>
        <w:ind w:right="641" w:firstLine="643" w:firstLineChars="200"/>
        <w:jc w:val="left"/>
        <w:textAlignment w:val="auto"/>
        <w:rPr>
          <w:rFonts w:hint="default" w:ascii="Times New Roman" w:hAnsi="Times New Roman" w:eastAsia="仿宋"/>
          <w:b/>
          <w:bCs/>
          <w:sz w:val="32"/>
          <w:szCs w:val="32"/>
          <w:highlight w:val="none"/>
          <w:lang w:val="en-US" w:eastAsia="zh-CN"/>
        </w:rPr>
      </w:pPr>
      <w:bookmarkStart w:id="0" w:name="_Toc27436"/>
      <w:bookmarkStart w:id="1" w:name="_Toc13916_WPSOffice_Level2"/>
      <w:bookmarkStart w:id="2" w:name="_Toc15493"/>
      <w:bookmarkStart w:id="3" w:name="_Toc14003"/>
      <w:bookmarkStart w:id="4" w:name="_Toc21180"/>
      <w:bookmarkStart w:id="5" w:name="_Toc24828"/>
      <w:bookmarkStart w:id="6" w:name="_Toc19731"/>
      <w:r>
        <w:rPr>
          <w:rFonts w:hint="eastAsia" w:ascii="Times New Roman" w:hAnsi="Times New Roman" w:eastAsia="仿宋"/>
          <w:b/>
          <w:bCs/>
          <w:sz w:val="32"/>
          <w:szCs w:val="32"/>
          <w:highlight w:val="none"/>
          <w:lang w:val="en-US" w:eastAsia="zh-CN"/>
        </w:rPr>
        <w:t>一、</w:t>
      </w:r>
      <w:r>
        <w:rPr>
          <w:rFonts w:hint="default" w:ascii="Times New Roman" w:hAnsi="Times New Roman" w:eastAsia="仿宋"/>
          <w:b/>
          <w:bCs/>
          <w:sz w:val="32"/>
          <w:szCs w:val="32"/>
          <w:highlight w:val="none"/>
          <w:lang w:val="en-US" w:eastAsia="zh-CN"/>
        </w:rPr>
        <w:t>研究对象</w:t>
      </w:r>
      <w:bookmarkEnd w:id="0"/>
      <w:bookmarkEnd w:id="1"/>
      <w:bookmarkEnd w:id="2"/>
      <w:bookmarkEnd w:id="3"/>
      <w:bookmarkEnd w:id="4"/>
      <w:bookmarkEnd w:id="5"/>
      <w:r>
        <w:rPr>
          <w:rFonts w:hint="default" w:ascii="Times New Roman" w:hAnsi="Times New Roman" w:eastAsia="仿宋"/>
          <w:b/>
          <w:bCs/>
          <w:sz w:val="32"/>
          <w:szCs w:val="32"/>
          <w:highlight w:val="none"/>
          <w:lang w:val="en-US" w:eastAsia="zh-CN"/>
        </w:rPr>
        <w:t>和研</w:t>
      </w:r>
      <w:r>
        <w:rPr>
          <w:rFonts w:hint="eastAsia" w:ascii="Times New Roman" w:hAnsi="Times New Roman" w:eastAsia="仿宋"/>
          <w:b/>
          <w:bCs/>
          <w:sz w:val="32"/>
          <w:szCs w:val="32"/>
          <w:highlight w:val="none"/>
          <w:lang w:val="en-US" w:eastAsia="zh-CN"/>
        </w:rPr>
        <w:t>究</w:t>
      </w:r>
      <w:bookmarkEnd w:id="6"/>
      <w:r>
        <w:rPr>
          <w:rFonts w:hint="eastAsia" w:ascii="Times New Roman" w:hAnsi="Times New Roman" w:eastAsia="仿宋"/>
          <w:b/>
          <w:bCs/>
          <w:sz w:val="32"/>
          <w:szCs w:val="32"/>
          <w:highlight w:val="none"/>
          <w:lang w:val="en-US" w:eastAsia="zh-CN"/>
        </w:rPr>
        <w:t>过程</w:t>
      </w:r>
    </w:p>
    <w:p>
      <w:pPr>
        <w:keepNext w:val="0"/>
        <w:keepLines w:val="0"/>
        <w:pageBreakBefore w:val="0"/>
        <w:widowControl w:val="0"/>
        <w:kinsoku/>
        <w:wordWrap/>
        <w:overflowPunct/>
        <w:topLinePunct w:val="0"/>
        <w:autoSpaceDE/>
        <w:autoSpaceDN/>
        <w:bidi w:val="0"/>
        <w:adjustRightInd/>
        <w:snapToGrid/>
        <w:ind w:right="641" w:firstLine="640" w:firstLineChars="200"/>
        <w:jc w:val="left"/>
        <w:textAlignment w:val="auto"/>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中国互联网企业综合实力指数研究的主要对象是</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持有增值电信业务经营许可证或其他研究领域内必要的资质与牌照、营业收入主要通过互联网业务实现，主要收入来源地或运营总部位于中国大陆、无重大违法违规行为的企业。对于集团公司的全资子公司或绝对控股的子公司，原则上以集团总公司的名义统一填报；对于集团公司控制权比例小于50%的参股公司，则可以独立填报；若绝对控股子公司独立运营，且主营业务收入主要来源于市场，则可独立填报。</w:t>
      </w:r>
    </w:p>
    <w:p>
      <w:pPr>
        <w:keepNext w:val="0"/>
        <w:keepLines w:val="0"/>
        <w:pageBreakBefore w:val="0"/>
        <w:widowControl w:val="0"/>
        <w:kinsoku/>
        <w:wordWrap/>
        <w:overflowPunct/>
        <w:topLinePunct w:val="0"/>
        <w:autoSpaceDE/>
        <w:autoSpaceDN/>
        <w:bidi w:val="0"/>
        <w:adjustRightInd/>
        <w:snapToGrid/>
        <w:ind w:right="641" w:firstLine="640" w:firstLineChars="200"/>
        <w:jc w:val="left"/>
        <w:textAlignment w:val="auto"/>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研究</w:t>
      </w:r>
      <w:r>
        <w:rPr>
          <w:rFonts w:hint="eastAsia" w:ascii="Times New Roman" w:hAnsi="Times New Roman" w:eastAsia="仿宋"/>
          <w:sz w:val="32"/>
          <w:szCs w:val="32"/>
          <w:highlight w:val="none"/>
          <w:lang w:val="en-US" w:eastAsia="zh-CN"/>
        </w:rPr>
        <w:t>过程</w:t>
      </w:r>
      <w:r>
        <w:rPr>
          <w:rFonts w:hint="default" w:ascii="Times New Roman" w:hAnsi="Times New Roman" w:eastAsia="仿宋"/>
          <w:sz w:val="32"/>
          <w:szCs w:val="32"/>
          <w:highlight w:val="none"/>
          <w:lang w:val="en-US" w:eastAsia="zh-CN"/>
        </w:rPr>
        <w:t>：首先确定项目的总体目标，</w:t>
      </w:r>
      <w:r>
        <w:rPr>
          <w:rFonts w:hint="eastAsia" w:ascii="Times New Roman" w:hAnsi="Times New Roman" w:eastAsia="仿宋"/>
          <w:sz w:val="32"/>
          <w:szCs w:val="32"/>
          <w:highlight w:val="none"/>
          <w:lang w:val="en-US" w:eastAsia="zh-CN"/>
        </w:rPr>
        <w:t>构</w:t>
      </w:r>
      <w:r>
        <w:rPr>
          <w:rFonts w:hint="default" w:ascii="Times New Roman" w:hAnsi="Times New Roman" w:eastAsia="仿宋"/>
          <w:sz w:val="32"/>
          <w:szCs w:val="32"/>
          <w:highlight w:val="none"/>
          <w:lang w:val="en-US" w:eastAsia="zh-CN"/>
        </w:rPr>
        <w:t>建指标体系的评价原则和评价维度</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明确项目的研究对象、</w:t>
      </w:r>
      <w:r>
        <w:rPr>
          <w:rFonts w:hint="eastAsia" w:ascii="Times New Roman" w:hAnsi="Times New Roman" w:eastAsia="仿宋"/>
          <w:sz w:val="32"/>
          <w:szCs w:val="32"/>
          <w:highlight w:val="none"/>
          <w:lang w:val="en-US" w:eastAsia="zh-CN"/>
        </w:rPr>
        <w:t>评价</w:t>
      </w:r>
      <w:r>
        <w:rPr>
          <w:rFonts w:hint="default" w:ascii="Times New Roman" w:hAnsi="Times New Roman" w:eastAsia="仿宋"/>
          <w:sz w:val="32"/>
          <w:szCs w:val="32"/>
          <w:highlight w:val="none"/>
          <w:lang w:val="en-US" w:eastAsia="zh-CN"/>
        </w:rPr>
        <w:t>周期；其次选取能够代表相关维度的指标项</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并对指标项权重进行赋值；通过多种渠道收集数据，进行数据审核验证，并依据指标体系进行量化计算，</w:t>
      </w:r>
      <w:r>
        <w:rPr>
          <w:rFonts w:hint="eastAsia" w:ascii="Times New Roman" w:hAnsi="Times New Roman" w:eastAsia="仿宋"/>
          <w:sz w:val="32"/>
          <w:szCs w:val="32"/>
          <w:highlight w:val="none"/>
          <w:lang w:val="en-US" w:eastAsia="zh-CN"/>
        </w:rPr>
        <w:t>最终</w:t>
      </w:r>
      <w:r>
        <w:rPr>
          <w:rFonts w:hint="default" w:ascii="Times New Roman" w:hAnsi="Times New Roman" w:eastAsia="仿宋"/>
          <w:sz w:val="32"/>
          <w:szCs w:val="32"/>
          <w:highlight w:val="none"/>
          <w:lang w:val="en-US" w:eastAsia="zh-CN"/>
        </w:rPr>
        <w:t>形成</w:t>
      </w:r>
      <w:r>
        <w:rPr>
          <w:rFonts w:hint="eastAsia" w:ascii="Times New Roman" w:hAnsi="Times New Roman" w:eastAsia="仿宋"/>
          <w:sz w:val="32"/>
          <w:szCs w:val="32"/>
          <w:highlight w:val="none"/>
          <w:lang w:val="en-US" w:eastAsia="zh-CN"/>
        </w:rPr>
        <w:t>计算</w:t>
      </w:r>
      <w:r>
        <w:rPr>
          <w:rFonts w:hint="default" w:ascii="Times New Roman" w:hAnsi="Times New Roman" w:eastAsia="仿宋"/>
          <w:sz w:val="32"/>
          <w:szCs w:val="32"/>
          <w:highlight w:val="none"/>
          <w:lang w:val="en-US" w:eastAsia="zh-CN"/>
        </w:rPr>
        <w:t>结果。</w:t>
      </w:r>
    </w:p>
    <w:p>
      <w:pPr>
        <w:keepNext w:val="0"/>
        <w:keepLines w:val="0"/>
        <w:pageBreakBefore w:val="0"/>
        <w:widowControl w:val="0"/>
        <w:kinsoku/>
        <w:wordWrap/>
        <w:overflowPunct/>
        <w:topLinePunct w:val="0"/>
        <w:autoSpaceDE/>
        <w:autoSpaceDN/>
        <w:bidi w:val="0"/>
        <w:adjustRightInd/>
        <w:snapToGrid/>
        <w:ind w:right="641" w:firstLine="640" w:firstLineChars="200"/>
        <w:jc w:val="left"/>
        <w:textAlignment w:val="auto"/>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数据来源包含上市公司财务报告、拟上市公司招股说明书、企业审计报告、所得税纳税申报表、第三方数据平台监测数据和企业自主填报数据等多种渠道的数据进行审核验证和补充。</w:t>
      </w:r>
    </w:p>
    <w:p>
      <w:pPr>
        <w:keepNext w:val="0"/>
        <w:keepLines w:val="0"/>
        <w:pageBreakBefore w:val="0"/>
        <w:widowControl w:val="0"/>
        <w:kinsoku/>
        <w:wordWrap/>
        <w:overflowPunct/>
        <w:topLinePunct w:val="0"/>
        <w:autoSpaceDE/>
        <w:autoSpaceDN/>
        <w:bidi w:val="0"/>
        <w:adjustRightInd/>
        <w:snapToGrid/>
        <w:ind w:right="641" w:firstLine="643" w:firstLineChars="200"/>
        <w:jc w:val="left"/>
        <w:textAlignment w:val="auto"/>
        <w:rPr>
          <w:rFonts w:hint="default" w:ascii="Times New Roman" w:hAnsi="Times New Roman" w:eastAsia="仿宋"/>
          <w:b/>
          <w:bCs/>
          <w:sz w:val="32"/>
          <w:szCs w:val="32"/>
          <w:highlight w:val="none"/>
          <w:lang w:val="en-US" w:eastAsia="zh-CN"/>
        </w:rPr>
      </w:pPr>
      <w:bookmarkStart w:id="7" w:name="_Toc31188"/>
      <w:bookmarkStart w:id="8" w:name="_Toc22448"/>
      <w:bookmarkStart w:id="9" w:name="_Toc10320"/>
      <w:bookmarkStart w:id="10" w:name="_Toc9237"/>
      <w:bookmarkStart w:id="11" w:name="_Toc185_WPSOffice_Level2"/>
      <w:bookmarkStart w:id="12" w:name="_Toc31473"/>
      <w:bookmarkStart w:id="13" w:name="_Toc24385"/>
      <w:r>
        <w:rPr>
          <w:rFonts w:hint="eastAsia" w:ascii="Times New Roman" w:hAnsi="Times New Roman" w:eastAsia="仿宋"/>
          <w:b/>
          <w:bCs/>
          <w:sz w:val="32"/>
          <w:szCs w:val="32"/>
          <w:highlight w:val="none"/>
          <w:lang w:val="en-US" w:eastAsia="zh-CN"/>
        </w:rPr>
        <w:t>二、研究</w:t>
      </w:r>
      <w:r>
        <w:rPr>
          <w:rFonts w:hint="default" w:ascii="Times New Roman" w:hAnsi="Times New Roman" w:eastAsia="仿宋"/>
          <w:b/>
          <w:bCs/>
          <w:sz w:val="32"/>
          <w:szCs w:val="32"/>
          <w:highlight w:val="none"/>
          <w:lang w:val="en-US" w:eastAsia="zh-CN"/>
        </w:rPr>
        <w:t>维度和方法</w:t>
      </w:r>
      <w:bookmarkEnd w:id="7"/>
      <w:bookmarkEnd w:id="8"/>
      <w:bookmarkEnd w:id="9"/>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ind w:right="641" w:firstLine="640" w:firstLineChars="200"/>
        <w:jc w:val="left"/>
        <w:textAlignment w:val="auto"/>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中国互联网企业综合实力</w:t>
      </w:r>
      <w:r>
        <w:rPr>
          <w:rFonts w:hint="eastAsia" w:ascii="Times New Roman" w:hAnsi="Times New Roman" w:eastAsia="仿宋"/>
          <w:sz w:val="32"/>
          <w:szCs w:val="32"/>
          <w:highlight w:val="none"/>
          <w:lang w:val="en-US" w:eastAsia="zh-CN"/>
        </w:rPr>
        <w:t>指数</w:t>
      </w:r>
      <w:r>
        <w:rPr>
          <w:rFonts w:hint="default" w:ascii="Times New Roman" w:hAnsi="Times New Roman" w:eastAsia="仿宋"/>
          <w:sz w:val="32"/>
          <w:szCs w:val="32"/>
          <w:highlight w:val="none"/>
          <w:lang w:val="en-US" w:eastAsia="zh-CN"/>
        </w:rPr>
        <w:t>研究</w:t>
      </w:r>
      <w:r>
        <w:rPr>
          <w:rFonts w:hint="eastAsia" w:ascii="Times New Roman" w:hAnsi="Times New Roman" w:eastAsia="仿宋"/>
          <w:sz w:val="32"/>
          <w:szCs w:val="32"/>
          <w:highlight w:val="none"/>
          <w:lang w:val="en-US" w:eastAsia="zh-CN"/>
        </w:rPr>
        <w:t>通过对</w:t>
      </w:r>
      <w:r>
        <w:rPr>
          <w:rFonts w:hint="default" w:ascii="Times New Roman" w:hAnsi="Times New Roman" w:eastAsia="仿宋"/>
          <w:sz w:val="32"/>
          <w:szCs w:val="32"/>
          <w:highlight w:val="none"/>
          <w:lang w:val="en-US" w:eastAsia="zh-CN"/>
        </w:rPr>
        <w:t>企业规模、盈利、创新能力、成长性、风险防控能力和社会责任6大</w:t>
      </w:r>
      <w:r>
        <w:rPr>
          <w:rFonts w:hint="eastAsia" w:ascii="Times New Roman" w:hAnsi="Times New Roman" w:eastAsia="仿宋"/>
          <w:sz w:val="32"/>
          <w:szCs w:val="32"/>
          <w:highlight w:val="none"/>
          <w:lang w:val="en-US" w:eastAsia="zh-CN"/>
        </w:rPr>
        <w:t>研究</w:t>
      </w:r>
      <w:r>
        <w:rPr>
          <w:rFonts w:hint="default" w:ascii="Times New Roman" w:hAnsi="Times New Roman" w:eastAsia="仿宋"/>
          <w:sz w:val="32"/>
          <w:szCs w:val="32"/>
          <w:highlight w:val="none"/>
          <w:lang w:val="en-US" w:eastAsia="zh-CN"/>
        </w:rPr>
        <w:t>维度</w:t>
      </w:r>
      <w:r>
        <w:rPr>
          <w:rFonts w:hint="eastAsia" w:ascii="Times New Roman" w:hAnsi="Times New Roman" w:eastAsia="仿宋"/>
          <w:sz w:val="32"/>
          <w:szCs w:val="32"/>
          <w:highlight w:val="none"/>
          <w:lang w:val="en-US" w:eastAsia="zh-CN"/>
        </w:rPr>
        <w:t>进行综合考量，对营收规模、用户规模、员工规模、营业利润、研发投入规模、专利数量、互联网业务收入增速、债务保障率、行业表彰和行政处罚等二级</w:t>
      </w:r>
      <w:r>
        <w:rPr>
          <w:rFonts w:hint="default" w:ascii="Times New Roman" w:hAnsi="Times New Roman" w:eastAsia="仿宋"/>
          <w:sz w:val="32"/>
          <w:szCs w:val="32"/>
          <w:highlight w:val="none"/>
          <w:lang w:val="en-US" w:eastAsia="zh-CN"/>
        </w:rPr>
        <w:t>核心指标</w:t>
      </w:r>
      <w:r>
        <w:rPr>
          <w:rFonts w:hint="eastAsia" w:ascii="Times New Roman" w:hAnsi="Times New Roman" w:eastAsia="仿宋"/>
          <w:sz w:val="32"/>
          <w:szCs w:val="32"/>
          <w:highlight w:val="none"/>
          <w:lang w:val="en-US" w:eastAsia="zh-CN"/>
        </w:rPr>
        <w:t>项进行量化计算</w:t>
      </w:r>
      <w:r>
        <w:rPr>
          <w:rFonts w:hint="default" w:ascii="Times New Roman" w:hAnsi="Times New Roman" w:eastAsia="仿宋"/>
          <w:sz w:val="32"/>
          <w:szCs w:val="32"/>
          <w:highlight w:val="none"/>
          <w:lang w:val="en-US" w:eastAsia="zh-CN"/>
        </w:rPr>
        <w:t>，综合行业发展态势和专家意见对指标设置权重，加权计算生成综合得分作为企业的最终得分，对候选的互联网企业进行排序，取前100名的企业作为中国互联网企业综合实力前百家企业。</w:t>
      </w:r>
    </w:p>
    <w:p>
      <w:pPr>
        <w:ind w:right="640"/>
        <w:jc w:val="center"/>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drawing>
          <wp:inline distT="0" distB="0" distL="114300" distR="114300">
            <wp:extent cx="3454400" cy="3677285"/>
            <wp:effectExtent l="0" t="0" r="12700" b="18415"/>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5" cstate="print"/>
                    <a:stretch>
                      <a:fillRect/>
                    </a:stretch>
                  </pic:blipFill>
                  <pic:spPr>
                    <a:xfrm>
                      <a:off x="0" y="0"/>
                      <a:ext cx="3454400" cy="36772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right="641"/>
        <w:jc w:val="center"/>
        <w:textAlignment w:val="auto"/>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图1  中国互联网综合实力企业</w:t>
      </w:r>
      <w:r>
        <w:rPr>
          <w:rFonts w:hint="eastAsia" w:ascii="Times New Roman" w:hAnsi="Times New Roman" w:eastAsia="仿宋"/>
          <w:sz w:val="32"/>
          <w:szCs w:val="32"/>
          <w:highlight w:val="none"/>
          <w:lang w:val="en-US" w:eastAsia="zh-CN"/>
        </w:rPr>
        <w:t>研究</w:t>
      </w:r>
      <w:r>
        <w:rPr>
          <w:rFonts w:hint="default" w:ascii="Times New Roman" w:hAnsi="Times New Roman" w:eastAsia="仿宋"/>
          <w:sz w:val="32"/>
          <w:szCs w:val="32"/>
          <w:highlight w:val="none"/>
          <w:lang w:val="en-US" w:eastAsia="zh-CN"/>
        </w:rPr>
        <w:t>维度</w:t>
      </w:r>
    </w:p>
    <w:p>
      <w:pPr>
        <w:keepNext w:val="0"/>
        <w:keepLines w:val="0"/>
        <w:pageBreakBefore w:val="0"/>
        <w:widowControl w:val="0"/>
        <w:kinsoku/>
        <w:wordWrap/>
        <w:overflowPunct/>
        <w:topLinePunct w:val="0"/>
        <w:autoSpaceDE/>
        <w:autoSpaceDN/>
        <w:bidi w:val="0"/>
        <w:adjustRightInd/>
        <w:snapToGrid/>
        <w:ind w:right="641" w:firstLine="640" w:firstLineChars="200"/>
        <w:jc w:val="left"/>
        <w:textAlignment w:val="auto"/>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中国互联网成长型企业研究</w:t>
      </w:r>
      <w:r>
        <w:rPr>
          <w:rFonts w:hint="eastAsia" w:ascii="Times New Roman" w:hAnsi="Times New Roman" w:eastAsia="仿宋"/>
          <w:sz w:val="32"/>
          <w:szCs w:val="32"/>
          <w:highlight w:val="none"/>
          <w:lang w:val="en-US" w:eastAsia="zh-CN"/>
        </w:rPr>
        <w:t>通过对</w:t>
      </w:r>
      <w:r>
        <w:rPr>
          <w:rFonts w:hint="default" w:ascii="Times New Roman" w:hAnsi="Times New Roman" w:eastAsia="仿宋"/>
          <w:sz w:val="32"/>
          <w:szCs w:val="32"/>
          <w:highlight w:val="none"/>
          <w:lang w:val="en-US" w:eastAsia="zh-CN"/>
        </w:rPr>
        <w:t>企业发展潜力、创新能力和社会责任等3大维度</w:t>
      </w:r>
      <w:r>
        <w:rPr>
          <w:rFonts w:hint="eastAsia" w:ascii="Times New Roman" w:hAnsi="Times New Roman" w:eastAsia="仿宋"/>
          <w:sz w:val="32"/>
          <w:szCs w:val="32"/>
          <w:highlight w:val="none"/>
          <w:lang w:val="en-US" w:eastAsia="zh-CN"/>
        </w:rPr>
        <w:t>进行综合考量，对营收规模增速、用户规模增速、员工规模增速、净利润增速、研发投入规模、专利数量、行业表彰和行政处罚等二级核心指标项进行量化计算</w:t>
      </w:r>
      <w:r>
        <w:rPr>
          <w:rFonts w:hint="default" w:ascii="Times New Roman" w:hAnsi="Times New Roman" w:eastAsia="仿宋"/>
          <w:sz w:val="32"/>
          <w:szCs w:val="32"/>
          <w:highlight w:val="none"/>
          <w:lang w:val="en-US" w:eastAsia="zh-CN"/>
        </w:rPr>
        <w:t>，综合行业发展态势和专家意见对指标设置权重，加权平均计算生成综合得分作为企业的最终得分，对未进入互联网前百家企业的候选企业进行排序，取前20名的企业作为中国互联网成长型前20企业。</w:t>
      </w:r>
    </w:p>
    <w:p>
      <w:pPr>
        <w:ind w:right="640"/>
        <w:jc w:val="center"/>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drawing>
          <wp:inline distT="0" distB="0" distL="114300" distR="114300">
            <wp:extent cx="3519805" cy="3387725"/>
            <wp:effectExtent l="0" t="0" r="4445" b="317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6" cstate="print"/>
                    <a:stretch>
                      <a:fillRect/>
                    </a:stretch>
                  </pic:blipFill>
                  <pic:spPr>
                    <a:xfrm>
                      <a:off x="0" y="0"/>
                      <a:ext cx="3519805" cy="3387725"/>
                    </a:xfrm>
                    <a:prstGeom prst="rect">
                      <a:avLst/>
                    </a:prstGeom>
                    <a:noFill/>
                    <a:ln>
                      <a:noFill/>
                    </a:ln>
                  </pic:spPr>
                </pic:pic>
              </a:graphicData>
            </a:graphic>
          </wp:inline>
        </w:drawing>
      </w:r>
    </w:p>
    <w:p>
      <w:pPr>
        <w:widowControl/>
        <w:ind w:right="640"/>
        <w:jc w:val="center"/>
        <w:rPr>
          <w:rFonts w:hint="eastAsia"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图2  中国互联网成长型企业</w:t>
      </w:r>
      <w:r>
        <w:rPr>
          <w:rFonts w:hint="eastAsia" w:ascii="Times New Roman" w:hAnsi="Times New Roman" w:eastAsia="仿宋"/>
          <w:sz w:val="32"/>
          <w:szCs w:val="32"/>
          <w:highlight w:val="none"/>
          <w:lang w:val="en-US" w:eastAsia="zh-CN"/>
        </w:rPr>
        <w:t>研究</w:t>
      </w:r>
      <w:r>
        <w:rPr>
          <w:rFonts w:hint="default" w:ascii="Times New Roman" w:hAnsi="Times New Roman" w:eastAsia="仿宋"/>
          <w:sz w:val="32"/>
          <w:szCs w:val="32"/>
          <w:highlight w:val="none"/>
          <w:lang w:val="en-US" w:eastAsia="zh-CN"/>
        </w:rPr>
        <w:t>维度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2010600030101010101"/>
    <w:charset w:val="50"/>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1458A"/>
    <w:rsid w:val="06BB405F"/>
    <w:rsid w:val="06CF7A1A"/>
    <w:rsid w:val="18443449"/>
    <w:rsid w:val="19CC73F6"/>
    <w:rsid w:val="1E090E28"/>
    <w:rsid w:val="203B56CB"/>
    <w:rsid w:val="24795BCF"/>
    <w:rsid w:val="311F1B43"/>
    <w:rsid w:val="3B4E317F"/>
    <w:rsid w:val="42456A76"/>
    <w:rsid w:val="442C7447"/>
    <w:rsid w:val="44403DF4"/>
    <w:rsid w:val="45C1458A"/>
    <w:rsid w:val="4917738B"/>
    <w:rsid w:val="4F8E74CD"/>
    <w:rsid w:val="52944893"/>
    <w:rsid w:val="58C441A6"/>
    <w:rsid w:val="5DD270AA"/>
    <w:rsid w:val="5ECB154A"/>
    <w:rsid w:val="6A3044E7"/>
    <w:rsid w:val="6C215954"/>
    <w:rsid w:val="6D434AF6"/>
    <w:rsid w:val="77D31BB8"/>
    <w:rsid w:val="77EC02CA"/>
    <w:rsid w:val="DFB7D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35"/>
    <w:rPr>
      <w:rFonts w:ascii="Cambria" w:hAnsi="Cambria" w:eastAsia="黑体" w:cs="黑体"/>
      <w:sz w:val="20"/>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7">
    <w:name w:val="Hyperlink"/>
    <w:basedOn w:val="6"/>
    <w:qFormat/>
    <w:uiPriority w:val="0"/>
    <w:rPr>
      <w:color w:val="0000FF"/>
      <w:u w:val="single"/>
    </w:rPr>
  </w:style>
  <w:style w:type="character" w:customStyle="1" w:styleId="9">
    <w:name w:val="long_text1"/>
    <w:qFormat/>
    <w:uiPriority w:val="0"/>
    <w:rPr>
      <w:sz w:val="13"/>
      <w:szCs w:val="13"/>
    </w:rPr>
  </w:style>
  <w:style w:type="paragraph" w:customStyle="1" w:styleId="10">
    <w:name w:val="正文内容"/>
    <w:basedOn w:val="1"/>
    <w:qFormat/>
    <w:uiPriority w:val="0"/>
    <w:pPr>
      <w:spacing w:line="560" w:lineRule="exact"/>
      <w:ind w:firstLine="640" w:firstLineChars="200"/>
    </w:pPr>
    <w:rPr>
      <w:rFonts w:ascii="仿宋_GB2312" w:eastAsia="仿宋_GB2312"/>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2020-05-27T15:40:00Z</dcterms:created>
  <dc:creator>zhangshanshan</dc:creator>
  <cp:lastModifiedBy>wangyue</cp:lastModifiedBy>
  <cp:lastPrinted>2021-04-12T08:49:00Z</cp:lastPrinted>
  <dcterms:modified xsi:type="dcterms:W3CDTF">2022-01-12T17:28:15Z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y fmtid="{D5CDD505-2E9C-101B-9397-08002B2CF9AE}" pid="3" name="ICV">
    <vt:lpwstr>45AA5A9E4D8D4BF6B60A9D07B03CFC3D</vt:lpwstr>
  </property>
</Properties>
</file>