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A5DC" w14:textId="77777777" w:rsidR="006B3428" w:rsidRDefault="00C94747">
      <w:pPr>
        <w:pStyle w:val="a3"/>
        <w:widowControl/>
        <w:shd w:val="clear" w:color="auto" w:fill="FFFFFF"/>
        <w:spacing w:before="300" w:beforeAutospacing="0" w:after="300" w:afterAutospacing="0" w:line="500" w:lineRule="exact"/>
        <w:rPr>
          <w:rFonts w:ascii="宋体" w:hAnsi="宋体" w:cs="宋体"/>
          <w:color w:val="000000"/>
          <w:shd w:val="clear" w:color="auto" w:fill="FFFFFF"/>
        </w:rPr>
      </w:pPr>
      <w:r>
        <w:rPr>
          <w:rFonts w:ascii="宋体" w:hAnsi="宋体" w:cs="宋体" w:hint="eastAsia"/>
          <w:color w:val="000000"/>
          <w:shd w:val="clear" w:color="auto" w:fill="FFFFFF"/>
        </w:rPr>
        <w:t>附件：</w:t>
      </w:r>
    </w:p>
    <w:p w14:paraId="5D84D963" w14:textId="72B9C7BE" w:rsidR="006B3428" w:rsidRDefault="00C94747">
      <w:pPr>
        <w:pStyle w:val="a3"/>
        <w:widowControl/>
        <w:shd w:val="clear" w:color="auto" w:fill="FFFFFF"/>
        <w:spacing w:before="300" w:beforeAutospacing="0" w:after="300" w:afterAutospacing="0" w:line="500" w:lineRule="exact"/>
        <w:jc w:val="center"/>
        <w:rPr>
          <w:rFonts w:ascii="仿宋" w:hAnsi="仿宋" w:cs="仿宋"/>
          <w:b/>
          <w:bCs/>
          <w:color w:val="000000"/>
          <w:sz w:val="28"/>
          <w:szCs w:val="28"/>
          <w:shd w:val="clear" w:color="auto" w:fill="FFFFFF"/>
        </w:rPr>
      </w:pPr>
      <w:r>
        <w:rPr>
          <w:rFonts w:ascii="宋体" w:hAnsi="宋体" w:cs="宋体" w:hint="eastAsia"/>
          <w:b/>
          <w:bCs/>
          <w:color w:val="000000"/>
          <w:sz w:val="28"/>
          <w:szCs w:val="28"/>
          <w:shd w:val="clear" w:color="auto" w:fill="FFFFFF"/>
        </w:rPr>
        <w:t>202</w:t>
      </w:r>
      <w:r w:rsidR="0085041F">
        <w:rPr>
          <w:rFonts w:ascii="宋体" w:hAnsi="宋体" w:cs="宋体"/>
          <w:b/>
          <w:bCs/>
          <w:color w:val="000000"/>
          <w:sz w:val="28"/>
          <w:szCs w:val="28"/>
          <w:shd w:val="clear" w:color="auto" w:fill="FFFFFF"/>
        </w:rPr>
        <w:t>2</w:t>
      </w:r>
      <w:r>
        <w:rPr>
          <w:rFonts w:ascii="宋体" w:hAnsi="宋体" w:cs="宋体" w:hint="eastAsia"/>
          <w:b/>
          <w:bCs/>
          <w:color w:val="000000"/>
          <w:sz w:val="28"/>
          <w:szCs w:val="28"/>
          <w:shd w:val="clear" w:color="auto" w:fill="FFFFFF"/>
        </w:rPr>
        <w:t>年中国互联网协会第</w:t>
      </w:r>
      <w:r w:rsidR="002D3CE6">
        <w:rPr>
          <w:rFonts w:ascii="宋体" w:hAnsi="宋体" w:cs="宋体" w:hint="eastAsia"/>
          <w:b/>
          <w:bCs/>
          <w:color w:val="000000"/>
          <w:sz w:val="28"/>
          <w:szCs w:val="28"/>
          <w:shd w:val="clear" w:color="auto" w:fill="FFFFFF"/>
        </w:rPr>
        <w:t>二</w:t>
      </w:r>
      <w:r>
        <w:rPr>
          <w:rFonts w:ascii="宋体" w:hAnsi="宋体" w:cs="宋体" w:hint="eastAsia"/>
          <w:b/>
          <w:bCs/>
          <w:color w:val="000000"/>
          <w:sz w:val="28"/>
          <w:szCs w:val="28"/>
          <w:shd w:val="clear" w:color="auto" w:fill="FFFFFF"/>
        </w:rPr>
        <w:t>批团体标准项目计划表</w:t>
      </w:r>
    </w:p>
    <w:tbl>
      <w:tblPr>
        <w:tblStyle w:val="a4"/>
        <w:tblpPr w:leftFromText="180" w:rightFromText="180" w:vertAnchor="text" w:horzAnchor="page" w:tblpX="1380" w:tblpY="36"/>
        <w:tblOverlap w:val="never"/>
        <w:tblW w:w="14180" w:type="dxa"/>
        <w:tblLayout w:type="fixed"/>
        <w:tblLook w:val="04A0" w:firstRow="1" w:lastRow="0" w:firstColumn="1" w:lastColumn="0" w:noHBand="0" w:noVBand="1"/>
      </w:tblPr>
      <w:tblGrid>
        <w:gridCol w:w="1603"/>
        <w:gridCol w:w="2514"/>
        <w:gridCol w:w="1329"/>
        <w:gridCol w:w="6565"/>
        <w:gridCol w:w="2169"/>
      </w:tblGrid>
      <w:tr w:rsidR="006B3428" w14:paraId="1BCB5D7A" w14:textId="77777777">
        <w:trPr>
          <w:trHeight w:hRule="exact" w:val="903"/>
        </w:trPr>
        <w:tc>
          <w:tcPr>
            <w:tcW w:w="1603" w:type="dxa"/>
            <w:vAlign w:val="center"/>
          </w:tcPr>
          <w:p w14:paraId="4C949D74" w14:textId="77777777" w:rsidR="006B3428" w:rsidRDefault="00C94747">
            <w:pPr>
              <w:pStyle w:val="a3"/>
              <w:widowControl/>
              <w:spacing w:before="300" w:beforeAutospacing="0" w:after="300" w:afterAutospacing="0" w:line="240" w:lineRule="exact"/>
              <w:jc w:val="center"/>
              <w:rPr>
                <w:rFonts w:ascii="仿宋" w:eastAsia="仿宋" w:hAnsi="仿宋" w:cs="仿宋"/>
                <w:b/>
                <w:bCs/>
                <w:color w:val="000000"/>
                <w:sz w:val="22"/>
                <w:szCs w:val="22"/>
                <w:shd w:val="clear" w:color="auto" w:fill="FFFFFF"/>
              </w:rPr>
            </w:pPr>
            <w:r>
              <w:rPr>
                <w:rFonts w:ascii="仿宋" w:eastAsia="仿宋" w:hAnsi="仿宋" w:cs="仿宋" w:hint="eastAsia"/>
                <w:b/>
                <w:bCs/>
                <w:color w:val="000000"/>
                <w:sz w:val="22"/>
                <w:szCs w:val="22"/>
                <w:shd w:val="clear" w:color="auto" w:fill="FFFFFF"/>
              </w:rPr>
              <w:t>项目计划号</w:t>
            </w:r>
          </w:p>
        </w:tc>
        <w:tc>
          <w:tcPr>
            <w:tcW w:w="2514" w:type="dxa"/>
            <w:vAlign w:val="center"/>
          </w:tcPr>
          <w:p w14:paraId="7C6959F5" w14:textId="77777777" w:rsidR="006B3428" w:rsidRDefault="00C94747">
            <w:pPr>
              <w:pStyle w:val="a3"/>
              <w:widowControl/>
              <w:spacing w:before="300" w:beforeAutospacing="0" w:after="300" w:afterAutospacing="0" w:line="240" w:lineRule="exact"/>
              <w:jc w:val="center"/>
              <w:rPr>
                <w:rFonts w:ascii="仿宋" w:eastAsia="仿宋" w:hAnsi="仿宋" w:cs="仿宋"/>
                <w:b/>
                <w:bCs/>
                <w:color w:val="000000"/>
                <w:sz w:val="22"/>
                <w:szCs w:val="22"/>
                <w:shd w:val="clear" w:color="auto" w:fill="FFFFFF"/>
              </w:rPr>
            </w:pPr>
            <w:r>
              <w:rPr>
                <w:rFonts w:ascii="仿宋" w:eastAsia="仿宋" w:hAnsi="仿宋" w:cs="仿宋" w:hint="eastAsia"/>
                <w:b/>
                <w:bCs/>
                <w:color w:val="000000"/>
                <w:sz w:val="22"/>
                <w:szCs w:val="22"/>
                <w:shd w:val="clear" w:color="auto" w:fill="FFFFFF"/>
              </w:rPr>
              <w:t>项目名称</w:t>
            </w:r>
          </w:p>
        </w:tc>
        <w:tc>
          <w:tcPr>
            <w:tcW w:w="1329" w:type="dxa"/>
          </w:tcPr>
          <w:p w14:paraId="70ACFEA4" w14:textId="77777777" w:rsidR="006B3428" w:rsidRDefault="00C94747">
            <w:pPr>
              <w:pStyle w:val="a3"/>
              <w:widowControl/>
              <w:spacing w:before="300" w:beforeAutospacing="0" w:after="300" w:afterAutospacing="0" w:line="240" w:lineRule="exact"/>
              <w:jc w:val="center"/>
              <w:rPr>
                <w:rFonts w:ascii="仿宋" w:eastAsia="仿宋" w:hAnsi="仿宋" w:cs="仿宋"/>
                <w:b/>
                <w:bCs/>
                <w:color w:val="000000"/>
                <w:sz w:val="22"/>
                <w:szCs w:val="22"/>
                <w:shd w:val="clear" w:color="auto" w:fill="FFFFFF"/>
              </w:rPr>
            </w:pPr>
            <w:r>
              <w:rPr>
                <w:rFonts w:ascii="仿宋" w:eastAsia="仿宋" w:hAnsi="仿宋" w:cs="仿宋" w:hint="eastAsia"/>
                <w:b/>
                <w:bCs/>
                <w:color w:val="000000"/>
                <w:sz w:val="22"/>
                <w:szCs w:val="22"/>
                <w:shd w:val="clear" w:color="auto" w:fill="FFFFFF"/>
              </w:rPr>
              <w:t>计划完成 时间</w:t>
            </w:r>
          </w:p>
          <w:p w14:paraId="37B1D67C" w14:textId="77777777" w:rsidR="006B3428" w:rsidRDefault="00C94747">
            <w:pPr>
              <w:pStyle w:val="a3"/>
              <w:widowControl/>
              <w:spacing w:before="300" w:beforeAutospacing="0" w:after="300" w:afterAutospacing="0" w:line="240" w:lineRule="exact"/>
              <w:jc w:val="center"/>
              <w:rPr>
                <w:rFonts w:ascii="仿宋" w:eastAsia="仿宋" w:hAnsi="仿宋" w:cs="仿宋"/>
                <w:b/>
                <w:bCs/>
                <w:color w:val="000000"/>
                <w:sz w:val="22"/>
                <w:szCs w:val="22"/>
                <w:shd w:val="clear" w:color="auto" w:fill="FFFFFF"/>
              </w:rPr>
            </w:pPr>
            <w:r>
              <w:rPr>
                <w:rFonts w:ascii="仿宋" w:eastAsia="仿宋" w:hAnsi="仿宋" w:cs="仿宋" w:hint="eastAsia"/>
                <w:b/>
                <w:bCs/>
                <w:color w:val="000000"/>
                <w:sz w:val="22"/>
                <w:szCs w:val="22"/>
                <w:shd w:val="clear" w:color="auto" w:fill="FFFFFF"/>
              </w:rPr>
              <w:t>时间</w:t>
            </w:r>
          </w:p>
        </w:tc>
        <w:tc>
          <w:tcPr>
            <w:tcW w:w="6565" w:type="dxa"/>
            <w:vAlign w:val="center"/>
          </w:tcPr>
          <w:p w14:paraId="3C7E2518" w14:textId="77777777" w:rsidR="006B3428" w:rsidRDefault="00C94747">
            <w:pPr>
              <w:pStyle w:val="a3"/>
              <w:widowControl/>
              <w:spacing w:before="300" w:beforeAutospacing="0" w:after="300" w:afterAutospacing="0" w:line="240" w:lineRule="exact"/>
              <w:jc w:val="center"/>
              <w:rPr>
                <w:rFonts w:ascii="仿宋" w:eastAsia="仿宋" w:hAnsi="仿宋" w:cs="仿宋"/>
                <w:b/>
                <w:bCs/>
                <w:color w:val="000000"/>
                <w:sz w:val="22"/>
                <w:szCs w:val="22"/>
                <w:shd w:val="clear" w:color="auto" w:fill="FFFFFF"/>
              </w:rPr>
            </w:pPr>
            <w:r>
              <w:rPr>
                <w:rFonts w:ascii="仿宋" w:eastAsia="仿宋" w:hAnsi="仿宋" w:cs="仿宋" w:hint="eastAsia"/>
                <w:b/>
                <w:bCs/>
                <w:color w:val="000000"/>
                <w:sz w:val="22"/>
                <w:szCs w:val="22"/>
                <w:shd w:val="clear" w:color="auto" w:fill="FFFFFF"/>
              </w:rPr>
              <w:t>主要研究内容</w:t>
            </w:r>
          </w:p>
        </w:tc>
        <w:tc>
          <w:tcPr>
            <w:tcW w:w="2169" w:type="dxa"/>
            <w:vAlign w:val="center"/>
          </w:tcPr>
          <w:p w14:paraId="4E61DF96" w14:textId="77777777" w:rsidR="006B3428" w:rsidRDefault="00C94747">
            <w:pPr>
              <w:pStyle w:val="a3"/>
              <w:widowControl/>
              <w:spacing w:before="300" w:beforeAutospacing="0" w:after="300" w:afterAutospacing="0" w:line="240" w:lineRule="exact"/>
              <w:jc w:val="center"/>
              <w:rPr>
                <w:rFonts w:ascii="仿宋" w:eastAsia="仿宋" w:hAnsi="仿宋" w:cs="仿宋"/>
                <w:b/>
                <w:bCs/>
                <w:color w:val="000000"/>
                <w:sz w:val="22"/>
                <w:szCs w:val="22"/>
                <w:shd w:val="clear" w:color="auto" w:fill="FFFFFF"/>
              </w:rPr>
            </w:pPr>
            <w:r>
              <w:rPr>
                <w:rFonts w:ascii="仿宋" w:eastAsia="仿宋" w:hAnsi="仿宋" w:cs="仿宋" w:hint="eastAsia"/>
                <w:b/>
                <w:bCs/>
                <w:color w:val="000000"/>
                <w:sz w:val="22"/>
                <w:szCs w:val="22"/>
                <w:shd w:val="clear" w:color="auto" w:fill="FFFFFF"/>
              </w:rPr>
              <w:t>牵头单位</w:t>
            </w:r>
          </w:p>
        </w:tc>
      </w:tr>
      <w:tr w:rsidR="006B3428" w14:paraId="7DFEFFFD" w14:textId="77777777">
        <w:trPr>
          <w:trHeight w:hRule="exact" w:val="2254"/>
        </w:trPr>
        <w:tc>
          <w:tcPr>
            <w:tcW w:w="1603" w:type="dxa"/>
            <w:vAlign w:val="center"/>
          </w:tcPr>
          <w:p w14:paraId="63CDDEF2" w14:textId="0B2AE36C" w:rsidR="006B3428" w:rsidRDefault="00C94747">
            <w:pPr>
              <w:pStyle w:val="a3"/>
              <w:widowControl/>
              <w:spacing w:before="300" w:beforeAutospacing="0" w:after="300" w:afterAutospacing="0" w:line="240" w:lineRule="exact"/>
              <w:jc w:val="center"/>
              <w:rPr>
                <w:rFonts w:ascii="仿宋" w:eastAsia="仿宋" w:hAnsi="仿宋" w:cs="仿宋"/>
                <w:color w:val="000000"/>
                <w:sz w:val="21"/>
                <w:szCs w:val="21"/>
                <w:shd w:val="clear" w:color="auto" w:fill="FFFFFF"/>
              </w:rPr>
            </w:pPr>
            <w:r>
              <w:rPr>
                <w:rFonts w:ascii="仿宋" w:eastAsia="仿宋" w:hAnsi="仿宋" w:cs="仿宋" w:hint="eastAsia"/>
                <w:color w:val="000000"/>
                <w:sz w:val="21"/>
                <w:szCs w:val="21"/>
                <w:shd w:val="clear" w:color="auto" w:fill="FFFFFF"/>
              </w:rPr>
              <w:t>0</w:t>
            </w:r>
            <w:r w:rsidR="00720B1A">
              <w:rPr>
                <w:rFonts w:ascii="仿宋" w:eastAsia="仿宋" w:hAnsi="仿宋" w:cs="仿宋"/>
                <w:color w:val="000000"/>
                <w:sz w:val="21"/>
                <w:szCs w:val="21"/>
                <w:shd w:val="clear" w:color="auto" w:fill="FFFFFF"/>
              </w:rPr>
              <w:t>3</w:t>
            </w:r>
            <w:r w:rsidR="002D3CE6">
              <w:rPr>
                <w:rFonts w:ascii="仿宋" w:eastAsia="仿宋" w:hAnsi="仿宋" w:cs="仿宋"/>
                <w:color w:val="000000"/>
                <w:sz w:val="21"/>
                <w:szCs w:val="21"/>
                <w:shd w:val="clear" w:color="auto" w:fill="FFFFFF"/>
              </w:rPr>
              <w:t>5</w:t>
            </w:r>
            <w:r>
              <w:rPr>
                <w:rFonts w:ascii="仿宋" w:eastAsia="仿宋" w:hAnsi="仿宋" w:cs="仿宋" w:hint="eastAsia"/>
                <w:color w:val="000000"/>
                <w:sz w:val="21"/>
                <w:szCs w:val="21"/>
                <w:shd w:val="clear" w:color="auto" w:fill="FFFFFF"/>
              </w:rPr>
              <w:t>-T/ISC-2</w:t>
            </w:r>
            <w:r w:rsidR="00720B1A">
              <w:rPr>
                <w:rFonts w:ascii="仿宋" w:eastAsia="仿宋" w:hAnsi="仿宋" w:cs="仿宋"/>
                <w:color w:val="000000"/>
                <w:sz w:val="21"/>
                <w:szCs w:val="21"/>
                <w:shd w:val="clear" w:color="auto" w:fill="FFFFFF"/>
              </w:rPr>
              <w:t>2</w:t>
            </w:r>
          </w:p>
        </w:tc>
        <w:tc>
          <w:tcPr>
            <w:tcW w:w="2514" w:type="dxa"/>
            <w:vAlign w:val="center"/>
          </w:tcPr>
          <w:p w14:paraId="6BEECAA5" w14:textId="4AE89B8E" w:rsidR="006B3428" w:rsidRDefault="00C94747">
            <w:pPr>
              <w:pStyle w:val="a3"/>
              <w:widowControl/>
              <w:spacing w:before="300" w:beforeAutospacing="0" w:after="300" w:afterAutospacing="0" w:line="240" w:lineRule="exact"/>
              <w:jc w:val="center"/>
              <w:rPr>
                <w:rFonts w:ascii="仿宋" w:eastAsia="仿宋" w:hAnsi="仿宋" w:cs="仿宋"/>
                <w:color w:val="000000"/>
                <w:sz w:val="21"/>
                <w:szCs w:val="21"/>
                <w:shd w:val="clear" w:color="auto" w:fill="FFFFFF"/>
              </w:rPr>
            </w:pPr>
            <w:r>
              <w:rPr>
                <w:rFonts w:ascii="仿宋" w:eastAsia="仿宋" w:hAnsi="仿宋" w:cs="仿宋" w:hint="eastAsia"/>
                <w:color w:val="000000"/>
                <w:sz w:val="21"/>
                <w:szCs w:val="21"/>
                <w:shd w:val="clear" w:color="auto" w:fill="FFFFFF"/>
              </w:rPr>
              <w:t>《</w:t>
            </w:r>
            <w:r w:rsidR="00E1601D" w:rsidRPr="00E1601D">
              <w:rPr>
                <w:rFonts w:ascii="仿宋" w:eastAsia="仿宋" w:hAnsi="仿宋" w:cs="仿宋" w:hint="eastAsia"/>
                <w:color w:val="000000"/>
                <w:sz w:val="21"/>
                <w:szCs w:val="21"/>
                <w:shd w:val="clear" w:color="auto" w:fill="FFFFFF"/>
              </w:rPr>
              <w:t>MA标识体系标准规范</w:t>
            </w:r>
            <w:r>
              <w:rPr>
                <w:rFonts w:ascii="仿宋" w:eastAsia="仿宋" w:hAnsi="仿宋" w:cs="仿宋" w:hint="eastAsia"/>
                <w:color w:val="000000"/>
                <w:sz w:val="21"/>
                <w:szCs w:val="21"/>
                <w:shd w:val="clear" w:color="auto" w:fill="FFFFFF"/>
              </w:rPr>
              <w:t>》</w:t>
            </w:r>
          </w:p>
        </w:tc>
        <w:tc>
          <w:tcPr>
            <w:tcW w:w="1329" w:type="dxa"/>
            <w:vAlign w:val="center"/>
          </w:tcPr>
          <w:p w14:paraId="42E108E3" w14:textId="5B32901B" w:rsidR="006B3428" w:rsidRDefault="00C94747">
            <w:pPr>
              <w:pStyle w:val="a3"/>
              <w:widowControl/>
              <w:spacing w:before="300" w:beforeAutospacing="0" w:after="300" w:afterAutospacing="0" w:line="240" w:lineRule="exact"/>
              <w:jc w:val="center"/>
              <w:rPr>
                <w:rFonts w:ascii="仿宋" w:eastAsia="仿宋" w:hAnsi="仿宋" w:cs="仿宋"/>
                <w:color w:val="000000"/>
                <w:sz w:val="21"/>
                <w:szCs w:val="21"/>
                <w:shd w:val="clear" w:color="auto" w:fill="FFFFFF"/>
              </w:rPr>
            </w:pPr>
            <w:r>
              <w:rPr>
                <w:rFonts w:ascii="仿宋" w:eastAsia="仿宋" w:hAnsi="仿宋" w:cs="仿宋" w:hint="eastAsia"/>
                <w:color w:val="000000"/>
                <w:sz w:val="21"/>
                <w:szCs w:val="21"/>
                <w:shd w:val="clear" w:color="auto" w:fill="FFFFFF"/>
              </w:rPr>
              <w:t>202</w:t>
            </w:r>
            <w:r w:rsidR="00ED22FE">
              <w:rPr>
                <w:rFonts w:ascii="仿宋" w:eastAsia="仿宋" w:hAnsi="仿宋" w:cs="仿宋"/>
                <w:color w:val="000000"/>
                <w:sz w:val="21"/>
                <w:szCs w:val="21"/>
                <w:shd w:val="clear" w:color="auto" w:fill="FFFFFF"/>
              </w:rPr>
              <w:t>2</w:t>
            </w:r>
            <w:r>
              <w:rPr>
                <w:rFonts w:ascii="仿宋" w:eastAsia="仿宋" w:hAnsi="仿宋" w:cs="仿宋" w:hint="eastAsia"/>
                <w:color w:val="000000"/>
                <w:sz w:val="21"/>
                <w:szCs w:val="21"/>
                <w:shd w:val="clear" w:color="auto" w:fill="FFFFFF"/>
              </w:rPr>
              <w:t>-</w:t>
            </w:r>
            <w:r w:rsidR="00527FAA">
              <w:rPr>
                <w:rFonts w:ascii="仿宋" w:eastAsia="仿宋" w:hAnsi="仿宋" w:cs="仿宋"/>
                <w:color w:val="000000"/>
                <w:sz w:val="21"/>
                <w:szCs w:val="21"/>
                <w:shd w:val="clear" w:color="auto" w:fill="FFFFFF"/>
              </w:rPr>
              <w:t>09</w:t>
            </w:r>
            <w:r>
              <w:rPr>
                <w:rFonts w:ascii="仿宋" w:eastAsia="仿宋" w:hAnsi="仿宋" w:cs="仿宋" w:hint="eastAsia"/>
                <w:color w:val="000000"/>
                <w:sz w:val="21"/>
                <w:szCs w:val="21"/>
                <w:shd w:val="clear" w:color="auto" w:fill="FFFFFF"/>
              </w:rPr>
              <w:t>-3</w:t>
            </w:r>
            <w:r w:rsidR="0006011F">
              <w:rPr>
                <w:rFonts w:ascii="仿宋" w:eastAsia="仿宋" w:hAnsi="仿宋" w:cs="仿宋"/>
                <w:color w:val="000000"/>
                <w:sz w:val="21"/>
                <w:szCs w:val="21"/>
                <w:shd w:val="clear" w:color="auto" w:fill="FFFFFF"/>
              </w:rPr>
              <w:t>0</w:t>
            </w:r>
          </w:p>
        </w:tc>
        <w:tc>
          <w:tcPr>
            <w:tcW w:w="6565" w:type="dxa"/>
            <w:vAlign w:val="center"/>
          </w:tcPr>
          <w:p w14:paraId="4E1ECA80" w14:textId="04409BCD" w:rsidR="006B3428" w:rsidRDefault="004951F2">
            <w:pPr>
              <w:pStyle w:val="a3"/>
              <w:widowControl/>
              <w:spacing w:before="300" w:beforeAutospacing="0" w:after="300" w:afterAutospacing="0" w:line="300" w:lineRule="exact"/>
              <w:rPr>
                <w:rFonts w:ascii="仿宋" w:eastAsia="仿宋" w:hAnsi="仿宋" w:cs="仿宋"/>
                <w:color w:val="000000"/>
                <w:sz w:val="21"/>
                <w:szCs w:val="21"/>
                <w:shd w:val="clear" w:color="auto" w:fill="FFFFFF"/>
              </w:rPr>
            </w:pPr>
            <w:r>
              <w:rPr>
                <w:rFonts w:ascii="仿宋" w:eastAsia="仿宋" w:hAnsi="仿宋" w:cs="仿宋" w:hint="eastAsia"/>
                <w:color w:val="000000"/>
                <w:sz w:val="21"/>
                <w:szCs w:val="21"/>
                <w:shd w:val="clear" w:color="auto" w:fill="FFFFFF"/>
              </w:rPr>
              <w:t>本标准适用于M</w:t>
            </w:r>
            <w:r>
              <w:rPr>
                <w:rFonts w:ascii="仿宋" w:eastAsia="仿宋" w:hAnsi="仿宋" w:cs="仿宋"/>
                <w:color w:val="000000"/>
                <w:sz w:val="21"/>
                <w:szCs w:val="21"/>
                <w:shd w:val="clear" w:color="auto" w:fill="FFFFFF"/>
              </w:rPr>
              <w:t>A</w:t>
            </w:r>
            <w:r>
              <w:rPr>
                <w:rFonts w:ascii="仿宋" w:eastAsia="仿宋" w:hAnsi="仿宋" w:cs="仿宋" w:hint="eastAsia"/>
                <w:color w:val="000000"/>
                <w:sz w:val="21"/>
                <w:szCs w:val="21"/>
                <w:shd w:val="clear" w:color="auto" w:fill="FFFFFF"/>
              </w:rPr>
              <w:t>标识体系。《M</w:t>
            </w:r>
            <w:r>
              <w:rPr>
                <w:rFonts w:ascii="仿宋" w:eastAsia="仿宋" w:hAnsi="仿宋" w:cs="仿宋"/>
                <w:color w:val="000000"/>
                <w:sz w:val="21"/>
                <w:szCs w:val="21"/>
                <w:shd w:val="clear" w:color="auto" w:fill="FFFFFF"/>
              </w:rPr>
              <w:t>A</w:t>
            </w:r>
            <w:r>
              <w:rPr>
                <w:rFonts w:ascii="仿宋" w:eastAsia="仿宋" w:hAnsi="仿宋" w:cs="仿宋" w:hint="eastAsia"/>
                <w:color w:val="000000"/>
                <w:sz w:val="21"/>
                <w:szCs w:val="21"/>
                <w:shd w:val="clear" w:color="auto" w:fill="FFFFFF"/>
              </w:rPr>
              <w:t>标识体系规范标准》主要技术内容包括：范围、规范性引用文件、术语和定义、缩略语、概述和M</w:t>
            </w:r>
            <w:r>
              <w:rPr>
                <w:rFonts w:ascii="仿宋" w:eastAsia="仿宋" w:hAnsi="仿宋" w:cs="仿宋"/>
                <w:color w:val="000000"/>
                <w:sz w:val="21"/>
                <w:szCs w:val="21"/>
                <w:shd w:val="clear" w:color="auto" w:fill="FFFFFF"/>
              </w:rPr>
              <w:t>A</w:t>
            </w:r>
            <w:r>
              <w:rPr>
                <w:rFonts w:ascii="仿宋" w:eastAsia="仿宋" w:hAnsi="仿宋" w:cs="仿宋" w:hint="eastAsia"/>
                <w:color w:val="000000"/>
                <w:sz w:val="21"/>
                <w:szCs w:val="21"/>
                <w:shd w:val="clear" w:color="auto" w:fill="FFFFFF"/>
              </w:rPr>
              <w:t>标识体系。</w:t>
            </w:r>
          </w:p>
        </w:tc>
        <w:tc>
          <w:tcPr>
            <w:tcW w:w="2169" w:type="dxa"/>
            <w:vAlign w:val="center"/>
          </w:tcPr>
          <w:p w14:paraId="0E4B68C5" w14:textId="6C1036A8" w:rsidR="006B3428" w:rsidRDefault="00C94747" w:rsidP="00223E17">
            <w:pPr>
              <w:pStyle w:val="a3"/>
              <w:widowControl/>
              <w:spacing w:before="300" w:beforeAutospacing="0" w:after="300" w:afterAutospacing="0" w:line="240" w:lineRule="exact"/>
              <w:jc w:val="center"/>
              <w:rPr>
                <w:rFonts w:ascii="仿宋" w:eastAsia="仿宋" w:hAnsi="仿宋" w:cs="仿宋"/>
                <w:color w:val="000000"/>
                <w:sz w:val="21"/>
                <w:szCs w:val="21"/>
                <w:shd w:val="clear" w:color="auto" w:fill="FFFFFF"/>
              </w:rPr>
            </w:pPr>
            <w:r>
              <w:rPr>
                <w:rFonts w:ascii="仿宋" w:eastAsia="仿宋" w:hAnsi="仿宋" w:cs="仿宋" w:hint="eastAsia"/>
                <w:color w:val="000000"/>
                <w:sz w:val="21"/>
                <w:szCs w:val="21"/>
                <w:shd w:val="clear" w:color="auto" w:fill="FFFFFF"/>
              </w:rPr>
              <w:t>中国</w:t>
            </w:r>
            <w:r w:rsidR="00A80EFB">
              <w:rPr>
                <w:rFonts w:ascii="仿宋" w:eastAsia="仿宋" w:hAnsi="仿宋" w:cs="仿宋" w:hint="eastAsia"/>
                <w:color w:val="000000"/>
                <w:sz w:val="21"/>
                <w:szCs w:val="21"/>
                <w:shd w:val="clear" w:color="auto" w:fill="FFFFFF"/>
              </w:rPr>
              <w:t>工业互联网</w:t>
            </w:r>
            <w:r w:rsidR="00223E17">
              <w:rPr>
                <w:rFonts w:ascii="仿宋" w:eastAsia="仿宋" w:hAnsi="仿宋" w:cs="仿宋" w:hint="eastAsia"/>
                <w:color w:val="000000"/>
                <w:sz w:val="21"/>
                <w:szCs w:val="21"/>
                <w:shd w:val="clear" w:color="auto" w:fill="FFFFFF"/>
              </w:rPr>
              <w:t xml:space="preserve"> </w:t>
            </w:r>
            <w:r w:rsidR="00223E17">
              <w:rPr>
                <w:rFonts w:ascii="仿宋" w:eastAsia="仿宋" w:hAnsi="仿宋" w:cs="仿宋"/>
                <w:color w:val="000000"/>
                <w:sz w:val="21"/>
                <w:szCs w:val="21"/>
                <w:shd w:val="clear" w:color="auto" w:fill="FFFFFF"/>
              </w:rPr>
              <w:t xml:space="preserve">  </w:t>
            </w:r>
            <w:r>
              <w:rPr>
                <w:rFonts w:ascii="仿宋" w:eastAsia="仿宋" w:hAnsi="仿宋" w:cs="仿宋" w:hint="eastAsia"/>
                <w:color w:val="000000"/>
                <w:sz w:val="21"/>
                <w:szCs w:val="21"/>
                <w:shd w:val="clear" w:color="auto" w:fill="FFFFFF"/>
              </w:rPr>
              <w:t>研究院</w:t>
            </w:r>
          </w:p>
        </w:tc>
      </w:tr>
      <w:tr w:rsidR="006B3428" w14:paraId="156AD3CB" w14:textId="77777777">
        <w:trPr>
          <w:trHeight w:hRule="exact" w:val="2437"/>
        </w:trPr>
        <w:tc>
          <w:tcPr>
            <w:tcW w:w="1603" w:type="dxa"/>
            <w:vAlign w:val="center"/>
          </w:tcPr>
          <w:p w14:paraId="3AAF967B" w14:textId="430EA74A" w:rsidR="006B3428" w:rsidRDefault="00C94747">
            <w:pPr>
              <w:pStyle w:val="a3"/>
              <w:widowControl/>
              <w:spacing w:before="300" w:beforeAutospacing="0" w:after="300" w:afterAutospacing="0" w:line="240" w:lineRule="exact"/>
              <w:jc w:val="center"/>
              <w:rPr>
                <w:rFonts w:ascii="仿宋" w:eastAsia="仿宋" w:hAnsi="仿宋" w:cs="仿宋"/>
                <w:color w:val="000000"/>
                <w:sz w:val="21"/>
                <w:szCs w:val="21"/>
                <w:shd w:val="clear" w:color="auto" w:fill="FFFFFF"/>
              </w:rPr>
            </w:pPr>
            <w:r>
              <w:rPr>
                <w:rFonts w:ascii="仿宋" w:eastAsia="仿宋" w:hAnsi="仿宋" w:cs="仿宋" w:hint="eastAsia"/>
                <w:color w:val="000000"/>
                <w:sz w:val="21"/>
                <w:szCs w:val="21"/>
                <w:shd w:val="clear" w:color="auto" w:fill="FFFFFF"/>
              </w:rPr>
              <w:t>0</w:t>
            </w:r>
            <w:r w:rsidR="00720B1A">
              <w:rPr>
                <w:rFonts w:ascii="仿宋" w:eastAsia="仿宋" w:hAnsi="仿宋" w:cs="仿宋"/>
                <w:color w:val="000000"/>
                <w:sz w:val="21"/>
                <w:szCs w:val="21"/>
                <w:shd w:val="clear" w:color="auto" w:fill="FFFFFF"/>
              </w:rPr>
              <w:t>3</w:t>
            </w:r>
            <w:r w:rsidR="002D3CE6">
              <w:rPr>
                <w:rFonts w:ascii="仿宋" w:eastAsia="仿宋" w:hAnsi="仿宋" w:cs="仿宋"/>
                <w:color w:val="000000"/>
                <w:sz w:val="21"/>
                <w:szCs w:val="21"/>
                <w:shd w:val="clear" w:color="auto" w:fill="FFFFFF"/>
              </w:rPr>
              <w:t>6</w:t>
            </w:r>
            <w:r>
              <w:rPr>
                <w:rFonts w:ascii="仿宋" w:eastAsia="仿宋" w:hAnsi="仿宋" w:cs="仿宋" w:hint="eastAsia"/>
                <w:color w:val="000000"/>
                <w:sz w:val="21"/>
                <w:szCs w:val="21"/>
                <w:shd w:val="clear" w:color="auto" w:fill="FFFFFF"/>
              </w:rPr>
              <w:t>-T/ISC-2</w:t>
            </w:r>
            <w:r w:rsidR="00720B1A">
              <w:rPr>
                <w:rFonts w:ascii="仿宋" w:eastAsia="仿宋" w:hAnsi="仿宋" w:cs="仿宋"/>
                <w:color w:val="000000"/>
                <w:sz w:val="21"/>
                <w:szCs w:val="21"/>
                <w:shd w:val="clear" w:color="auto" w:fill="FFFFFF"/>
              </w:rPr>
              <w:t>2</w:t>
            </w:r>
          </w:p>
        </w:tc>
        <w:tc>
          <w:tcPr>
            <w:tcW w:w="2514" w:type="dxa"/>
            <w:vAlign w:val="center"/>
          </w:tcPr>
          <w:p w14:paraId="7D2CB30A" w14:textId="1E0BE1EF" w:rsidR="006B3428" w:rsidRDefault="00C94747">
            <w:pPr>
              <w:pStyle w:val="a3"/>
              <w:widowControl/>
              <w:spacing w:before="300" w:beforeAutospacing="0" w:after="300" w:afterAutospacing="0" w:line="240" w:lineRule="exact"/>
              <w:jc w:val="center"/>
              <w:rPr>
                <w:rFonts w:ascii="仿宋" w:eastAsia="仿宋" w:hAnsi="仿宋" w:cs="仿宋"/>
                <w:color w:val="000000"/>
                <w:sz w:val="21"/>
                <w:szCs w:val="21"/>
                <w:shd w:val="clear" w:color="auto" w:fill="FFFFFF"/>
              </w:rPr>
            </w:pPr>
            <w:r>
              <w:rPr>
                <w:rFonts w:ascii="仿宋" w:eastAsia="仿宋" w:hAnsi="仿宋" w:cs="仿宋" w:hint="eastAsia"/>
                <w:color w:val="000000"/>
                <w:sz w:val="21"/>
                <w:szCs w:val="21"/>
                <w:shd w:val="clear" w:color="auto" w:fill="FFFFFF"/>
              </w:rPr>
              <w:t>《</w:t>
            </w:r>
            <w:r w:rsidR="00E1601D" w:rsidRPr="00E1601D">
              <w:rPr>
                <w:rFonts w:ascii="仿宋" w:eastAsia="仿宋" w:hAnsi="仿宋" w:cs="仿宋" w:hint="eastAsia"/>
                <w:color w:val="000000"/>
                <w:sz w:val="21"/>
                <w:szCs w:val="21"/>
                <w:shd w:val="clear" w:color="auto" w:fill="FFFFFF"/>
              </w:rPr>
              <w:t>数字孪生城市基础平台建设服务规范</w:t>
            </w:r>
            <w:r>
              <w:rPr>
                <w:rFonts w:ascii="仿宋" w:eastAsia="仿宋" w:hAnsi="仿宋" w:cs="仿宋" w:hint="eastAsia"/>
                <w:color w:val="000000"/>
                <w:sz w:val="21"/>
                <w:szCs w:val="21"/>
                <w:shd w:val="clear" w:color="auto" w:fill="FFFFFF"/>
              </w:rPr>
              <w:t>》</w:t>
            </w:r>
          </w:p>
        </w:tc>
        <w:tc>
          <w:tcPr>
            <w:tcW w:w="1329" w:type="dxa"/>
            <w:vAlign w:val="center"/>
          </w:tcPr>
          <w:p w14:paraId="36DD75FA" w14:textId="3B705D3C" w:rsidR="006B3428" w:rsidRDefault="00C94747">
            <w:pPr>
              <w:pStyle w:val="a3"/>
              <w:widowControl/>
              <w:spacing w:before="300" w:beforeAutospacing="0" w:after="300" w:afterAutospacing="0" w:line="240" w:lineRule="exact"/>
              <w:jc w:val="center"/>
              <w:rPr>
                <w:rFonts w:ascii="仿宋" w:eastAsia="仿宋" w:hAnsi="仿宋" w:cs="仿宋"/>
                <w:color w:val="000000"/>
                <w:sz w:val="21"/>
                <w:szCs w:val="21"/>
                <w:shd w:val="clear" w:color="auto" w:fill="FFFFFF"/>
              </w:rPr>
            </w:pPr>
            <w:r>
              <w:rPr>
                <w:rFonts w:ascii="仿宋" w:eastAsia="仿宋" w:hAnsi="仿宋" w:cs="仿宋" w:hint="eastAsia"/>
                <w:color w:val="000000"/>
                <w:sz w:val="21"/>
                <w:szCs w:val="21"/>
                <w:shd w:val="clear" w:color="auto" w:fill="FFFFFF"/>
              </w:rPr>
              <w:t>202</w:t>
            </w:r>
            <w:r w:rsidR="00ED22FE">
              <w:rPr>
                <w:rFonts w:ascii="仿宋" w:eastAsia="仿宋" w:hAnsi="仿宋" w:cs="仿宋"/>
                <w:color w:val="000000"/>
                <w:sz w:val="21"/>
                <w:szCs w:val="21"/>
                <w:shd w:val="clear" w:color="auto" w:fill="FFFFFF"/>
              </w:rPr>
              <w:t>2</w:t>
            </w:r>
            <w:r>
              <w:rPr>
                <w:rFonts w:ascii="仿宋" w:eastAsia="仿宋" w:hAnsi="仿宋" w:cs="仿宋" w:hint="eastAsia"/>
                <w:color w:val="000000"/>
                <w:sz w:val="21"/>
                <w:szCs w:val="21"/>
                <w:shd w:val="clear" w:color="auto" w:fill="FFFFFF"/>
              </w:rPr>
              <w:t>-1</w:t>
            </w:r>
            <w:r w:rsidR="00DA06DA">
              <w:rPr>
                <w:rFonts w:ascii="仿宋" w:eastAsia="仿宋" w:hAnsi="仿宋" w:cs="仿宋"/>
                <w:color w:val="000000"/>
                <w:sz w:val="21"/>
                <w:szCs w:val="21"/>
                <w:shd w:val="clear" w:color="auto" w:fill="FFFFFF"/>
              </w:rPr>
              <w:t>0</w:t>
            </w:r>
            <w:r>
              <w:rPr>
                <w:rFonts w:ascii="仿宋" w:eastAsia="仿宋" w:hAnsi="仿宋" w:cs="仿宋" w:hint="eastAsia"/>
                <w:color w:val="000000"/>
                <w:sz w:val="21"/>
                <w:szCs w:val="21"/>
                <w:shd w:val="clear" w:color="auto" w:fill="FFFFFF"/>
              </w:rPr>
              <w:t>-31</w:t>
            </w:r>
          </w:p>
        </w:tc>
        <w:tc>
          <w:tcPr>
            <w:tcW w:w="6565" w:type="dxa"/>
            <w:vAlign w:val="center"/>
          </w:tcPr>
          <w:p w14:paraId="521C173D" w14:textId="2C6B9BF7" w:rsidR="006B3428" w:rsidRPr="0065170C" w:rsidRDefault="00C143E0" w:rsidP="0065170C">
            <w:pPr>
              <w:rPr>
                <w:rFonts w:ascii="仿宋" w:eastAsia="仿宋" w:hAnsi="仿宋" w:cs="仿宋"/>
                <w:color w:val="000000"/>
                <w:kern w:val="0"/>
                <w:szCs w:val="21"/>
                <w:shd w:val="clear" w:color="auto" w:fill="FFFFFF"/>
                <w:lang w:bidi="ar"/>
              </w:rPr>
            </w:pPr>
            <w:r w:rsidRPr="00C143E0">
              <w:rPr>
                <w:rFonts w:ascii="仿宋" w:eastAsia="仿宋" w:hAnsi="仿宋" w:cs="仿宋"/>
                <w:color w:val="000000"/>
                <w:kern w:val="0"/>
                <w:szCs w:val="21"/>
                <w:shd w:val="clear" w:color="auto" w:fill="FFFFFF"/>
                <w:lang w:bidi="ar"/>
              </w:rPr>
              <w:t>本标准为非强制性标准，规定了数字孪生城市建设中，数字孪生城市基础平台建设服务的规范性要求，包括</w:t>
            </w:r>
            <w:r w:rsidRPr="00C143E0">
              <w:rPr>
                <w:rFonts w:ascii="仿宋" w:eastAsia="仿宋" w:hAnsi="仿宋" w:cs="仿宋" w:hint="eastAsia"/>
                <w:color w:val="000000"/>
                <w:kern w:val="0"/>
                <w:szCs w:val="21"/>
                <w:shd w:val="clear" w:color="auto" w:fill="FFFFFF"/>
                <w:lang w:bidi="ar"/>
              </w:rPr>
              <w:t>服务提供者、服务资源、服务人员、服务过程、服务评价等，以保证此类服务的适用性，作为数字孪生城市基础平台建设服务采购的基础，以及判定数字孪生城市基础平台建设服务符合性的依据。从标准化对象类别看，本标准属于服务类标准，从标准功能看，本标准属于规范类标准。</w:t>
            </w:r>
          </w:p>
        </w:tc>
        <w:tc>
          <w:tcPr>
            <w:tcW w:w="2169" w:type="dxa"/>
            <w:vAlign w:val="center"/>
          </w:tcPr>
          <w:p w14:paraId="1AB463F1" w14:textId="0187409B" w:rsidR="006B3428" w:rsidRDefault="007347F4">
            <w:pPr>
              <w:pStyle w:val="a3"/>
              <w:widowControl/>
              <w:spacing w:before="300" w:beforeAutospacing="0" w:after="300" w:afterAutospacing="0" w:line="240" w:lineRule="exact"/>
              <w:jc w:val="center"/>
              <w:rPr>
                <w:rFonts w:ascii="仿宋" w:eastAsia="仿宋" w:hAnsi="仿宋" w:cs="仿宋"/>
                <w:color w:val="000000"/>
                <w:sz w:val="21"/>
                <w:szCs w:val="21"/>
                <w:shd w:val="clear" w:color="auto" w:fill="FFFFFF"/>
              </w:rPr>
            </w:pPr>
            <w:r w:rsidRPr="007347F4">
              <w:rPr>
                <w:rFonts w:ascii="仿宋" w:eastAsia="仿宋" w:hAnsi="仿宋" w:cs="仿宋"/>
                <w:color w:val="000000"/>
                <w:sz w:val="21"/>
                <w:szCs w:val="21"/>
                <w:shd w:val="clear" w:color="auto" w:fill="FFFFFF"/>
                <w:lang w:bidi="ar"/>
              </w:rPr>
              <w:t>中国信息通信研究院</w:t>
            </w:r>
          </w:p>
        </w:tc>
      </w:tr>
      <w:tr w:rsidR="00E1601D" w14:paraId="122AAF1B" w14:textId="77777777" w:rsidTr="009E728C">
        <w:trPr>
          <w:trHeight w:hRule="exact" w:val="2437"/>
        </w:trPr>
        <w:tc>
          <w:tcPr>
            <w:tcW w:w="1603" w:type="dxa"/>
            <w:vAlign w:val="center"/>
          </w:tcPr>
          <w:p w14:paraId="28887A4C" w14:textId="576B9A57" w:rsidR="00E1601D" w:rsidRDefault="00E1601D" w:rsidP="009E728C">
            <w:pPr>
              <w:pStyle w:val="a3"/>
              <w:widowControl/>
              <w:spacing w:before="300" w:beforeAutospacing="0" w:after="300" w:afterAutospacing="0" w:line="240" w:lineRule="exact"/>
              <w:jc w:val="center"/>
              <w:rPr>
                <w:rFonts w:ascii="仿宋" w:eastAsia="仿宋" w:hAnsi="仿宋" w:cs="仿宋"/>
                <w:color w:val="000000"/>
                <w:sz w:val="21"/>
                <w:szCs w:val="21"/>
                <w:shd w:val="clear" w:color="auto" w:fill="FFFFFF"/>
              </w:rPr>
            </w:pPr>
            <w:r>
              <w:rPr>
                <w:rFonts w:ascii="仿宋" w:eastAsia="仿宋" w:hAnsi="仿宋" w:cs="仿宋" w:hint="eastAsia"/>
                <w:color w:val="000000"/>
                <w:sz w:val="21"/>
                <w:szCs w:val="21"/>
                <w:shd w:val="clear" w:color="auto" w:fill="FFFFFF"/>
              </w:rPr>
              <w:lastRenderedPageBreak/>
              <w:t>0</w:t>
            </w:r>
            <w:r w:rsidR="00720B1A">
              <w:rPr>
                <w:rFonts w:ascii="仿宋" w:eastAsia="仿宋" w:hAnsi="仿宋" w:cs="仿宋"/>
                <w:color w:val="000000"/>
                <w:sz w:val="21"/>
                <w:szCs w:val="21"/>
                <w:shd w:val="clear" w:color="auto" w:fill="FFFFFF"/>
              </w:rPr>
              <w:t>3</w:t>
            </w:r>
            <w:r w:rsidR="00A80EFB">
              <w:rPr>
                <w:rFonts w:ascii="仿宋" w:eastAsia="仿宋" w:hAnsi="仿宋" w:cs="仿宋"/>
                <w:color w:val="000000"/>
                <w:sz w:val="21"/>
                <w:szCs w:val="21"/>
                <w:shd w:val="clear" w:color="auto" w:fill="FFFFFF"/>
              </w:rPr>
              <w:t>7</w:t>
            </w:r>
            <w:r>
              <w:rPr>
                <w:rFonts w:ascii="仿宋" w:eastAsia="仿宋" w:hAnsi="仿宋" w:cs="仿宋" w:hint="eastAsia"/>
                <w:color w:val="000000"/>
                <w:sz w:val="21"/>
                <w:szCs w:val="21"/>
                <w:shd w:val="clear" w:color="auto" w:fill="FFFFFF"/>
              </w:rPr>
              <w:t>-T/ISC-2</w:t>
            </w:r>
            <w:r w:rsidR="00A80EFB">
              <w:rPr>
                <w:rFonts w:ascii="仿宋" w:eastAsia="仿宋" w:hAnsi="仿宋" w:cs="仿宋"/>
                <w:color w:val="000000"/>
                <w:sz w:val="21"/>
                <w:szCs w:val="21"/>
                <w:shd w:val="clear" w:color="auto" w:fill="FFFFFF"/>
              </w:rPr>
              <w:t>2</w:t>
            </w:r>
          </w:p>
        </w:tc>
        <w:tc>
          <w:tcPr>
            <w:tcW w:w="2514" w:type="dxa"/>
            <w:vAlign w:val="center"/>
          </w:tcPr>
          <w:p w14:paraId="16C87321" w14:textId="74F84AA8" w:rsidR="00E1601D" w:rsidRDefault="00E1601D" w:rsidP="009E728C">
            <w:pPr>
              <w:pStyle w:val="a3"/>
              <w:widowControl/>
              <w:spacing w:before="300" w:beforeAutospacing="0" w:after="300" w:afterAutospacing="0" w:line="240" w:lineRule="exact"/>
              <w:jc w:val="center"/>
              <w:rPr>
                <w:rFonts w:ascii="仿宋" w:eastAsia="仿宋" w:hAnsi="仿宋" w:cs="仿宋"/>
                <w:color w:val="000000"/>
                <w:sz w:val="21"/>
                <w:szCs w:val="21"/>
                <w:shd w:val="clear" w:color="auto" w:fill="FFFFFF"/>
              </w:rPr>
            </w:pPr>
            <w:r>
              <w:rPr>
                <w:rFonts w:ascii="仿宋" w:eastAsia="仿宋" w:hAnsi="仿宋" w:cs="仿宋" w:hint="eastAsia"/>
                <w:color w:val="000000"/>
                <w:sz w:val="21"/>
                <w:szCs w:val="21"/>
                <w:shd w:val="clear" w:color="auto" w:fill="FFFFFF"/>
              </w:rPr>
              <w:t>《</w:t>
            </w:r>
            <w:r w:rsidRPr="00E1601D">
              <w:rPr>
                <w:rFonts w:ascii="仿宋" w:eastAsia="仿宋" w:hAnsi="仿宋" w:cs="仿宋" w:hint="eastAsia"/>
                <w:color w:val="000000"/>
                <w:sz w:val="21"/>
                <w:szCs w:val="21"/>
                <w:shd w:val="clear" w:color="auto" w:fill="FFFFFF"/>
              </w:rPr>
              <w:t>碳达峰碳中和管理与服务平台</w:t>
            </w:r>
            <w:r w:rsidRPr="00E1601D">
              <w:rPr>
                <w:rFonts w:eastAsia="仿宋" w:cs="Calibri"/>
                <w:color w:val="000000"/>
                <w:sz w:val="21"/>
                <w:szCs w:val="21"/>
                <w:shd w:val="clear" w:color="auto" w:fill="FFFFFF"/>
              </w:rPr>
              <w:t> </w:t>
            </w:r>
            <w:r w:rsidRPr="00E1601D">
              <w:rPr>
                <w:rFonts w:ascii="仿宋" w:eastAsia="仿宋" w:hAnsi="仿宋" w:cs="仿宋" w:hint="eastAsia"/>
                <w:color w:val="000000"/>
                <w:sz w:val="21"/>
                <w:szCs w:val="21"/>
                <w:shd w:val="clear" w:color="auto" w:fill="FFFFFF"/>
              </w:rPr>
              <w:t>第1部分：架构规范</w:t>
            </w:r>
            <w:r>
              <w:rPr>
                <w:rFonts w:ascii="仿宋" w:eastAsia="仿宋" w:hAnsi="仿宋" w:cs="仿宋" w:hint="eastAsia"/>
                <w:color w:val="000000"/>
                <w:sz w:val="21"/>
                <w:szCs w:val="21"/>
                <w:shd w:val="clear" w:color="auto" w:fill="FFFFFF"/>
              </w:rPr>
              <w:t>》</w:t>
            </w:r>
          </w:p>
        </w:tc>
        <w:tc>
          <w:tcPr>
            <w:tcW w:w="1329" w:type="dxa"/>
            <w:vAlign w:val="center"/>
          </w:tcPr>
          <w:p w14:paraId="22F57156" w14:textId="31F8F956" w:rsidR="00E1601D" w:rsidRDefault="00E1601D" w:rsidP="009E728C">
            <w:pPr>
              <w:pStyle w:val="a3"/>
              <w:widowControl/>
              <w:spacing w:before="300" w:beforeAutospacing="0" w:after="300" w:afterAutospacing="0" w:line="240" w:lineRule="exact"/>
              <w:jc w:val="center"/>
              <w:rPr>
                <w:rFonts w:ascii="仿宋" w:eastAsia="仿宋" w:hAnsi="仿宋" w:cs="仿宋"/>
                <w:color w:val="000000"/>
                <w:sz w:val="21"/>
                <w:szCs w:val="21"/>
                <w:shd w:val="clear" w:color="auto" w:fill="FFFFFF"/>
              </w:rPr>
            </w:pPr>
            <w:r>
              <w:rPr>
                <w:rFonts w:ascii="仿宋" w:eastAsia="仿宋" w:hAnsi="仿宋" w:cs="仿宋" w:hint="eastAsia"/>
                <w:color w:val="000000"/>
                <w:sz w:val="21"/>
                <w:szCs w:val="21"/>
                <w:shd w:val="clear" w:color="auto" w:fill="FFFFFF"/>
              </w:rPr>
              <w:t>202</w:t>
            </w:r>
            <w:r w:rsidR="00ED22FE">
              <w:rPr>
                <w:rFonts w:ascii="仿宋" w:eastAsia="仿宋" w:hAnsi="仿宋" w:cs="仿宋"/>
                <w:color w:val="000000"/>
                <w:sz w:val="21"/>
                <w:szCs w:val="21"/>
                <w:shd w:val="clear" w:color="auto" w:fill="FFFFFF"/>
              </w:rPr>
              <w:t>2</w:t>
            </w:r>
            <w:r>
              <w:rPr>
                <w:rFonts w:ascii="仿宋" w:eastAsia="仿宋" w:hAnsi="仿宋" w:cs="仿宋" w:hint="eastAsia"/>
                <w:color w:val="000000"/>
                <w:sz w:val="21"/>
                <w:szCs w:val="21"/>
                <w:shd w:val="clear" w:color="auto" w:fill="FFFFFF"/>
              </w:rPr>
              <w:t>-1</w:t>
            </w:r>
            <w:r w:rsidR="00DA06DA">
              <w:rPr>
                <w:rFonts w:ascii="仿宋" w:eastAsia="仿宋" w:hAnsi="仿宋" w:cs="仿宋"/>
                <w:color w:val="000000"/>
                <w:sz w:val="21"/>
                <w:szCs w:val="21"/>
                <w:shd w:val="clear" w:color="auto" w:fill="FFFFFF"/>
              </w:rPr>
              <w:t>0</w:t>
            </w:r>
            <w:r>
              <w:rPr>
                <w:rFonts w:ascii="仿宋" w:eastAsia="仿宋" w:hAnsi="仿宋" w:cs="仿宋" w:hint="eastAsia"/>
                <w:color w:val="000000"/>
                <w:sz w:val="21"/>
                <w:szCs w:val="21"/>
                <w:shd w:val="clear" w:color="auto" w:fill="FFFFFF"/>
              </w:rPr>
              <w:t>-31</w:t>
            </w:r>
          </w:p>
        </w:tc>
        <w:tc>
          <w:tcPr>
            <w:tcW w:w="6565" w:type="dxa"/>
            <w:vAlign w:val="center"/>
          </w:tcPr>
          <w:p w14:paraId="3D09BA7F" w14:textId="1BF22D4D" w:rsidR="00E1601D" w:rsidRPr="0065170C" w:rsidRDefault="006532DE" w:rsidP="009E728C">
            <w:pPr>
              <w:rPr>
                <w:rFonts w:ascii="仿宋" w:eastAsia="仿宋" w:hAnsi="仿宋" w:cs="仿宋"/>
                <w:color w:val="000000"/>
                <w:kern w:val="0"/>
                <w:szCs w:val="21"/>
                <w:shd w:val="clear" w:color="auto" w:fill="FFFFFF"/>
                <w:lang w:bidi="ar"/>
              </w:rPr>
            </w:pPr>
            <w:r>
              <w:rPr>
                <w:rFonts w:ascii="仿宋" w:eastAsia="仿宋" w:hAnsi="仿宋" w:cs="仿宋" w:hint="eastAsia"/>
                <w:color w:val="000000"/>
                <w:kern w:val="0"/>
                <w:szCs w:val="21"/>
                <w:shd w:val="clear" w:color="auto" w:fill="FFFFFF"/>
                <w:lang w:bidi="ar"/>
              </w:rPr>
              <w:t>本标准规定了碳达峰碳中和管理与服务平台建设的术语和定义、技术架构、功能要求、建设要求、安全要求等内容。本标准适用于碳达峰碳中和管理与服务平台的设计与建设。</w:t>
            </w:r>
            <w:r w:rsidR="00440997">
              <w:rPr>
                <w:rFonts w:ascii="仿宋" w:eastAsia="仿宋" w:hAnsi="仿宋" w:cs="仿宋" w:hint="eastAsia"/>
                <w:color w:val="000000"/>
                <w:kern w:val="0"/>
                <w:szCs w:val="21"/>
                <w:shd w:val="clear" w:color="auto" w:fill="FFFFFF"/>
                <w:lang w:bidi="ar"/>
              </w:rPr>
              <w:t>预计</w:t>
            </w:r>
            <w:r>
              <w:rPr>
                <w:rFonts w:ascii="仿宋" w:eastAsia="仿宋" w:hAnsi="仿宋" w:cs="仿宋" w:hint="eastAsia"/>
                <w:color w:val="000000"/>
                <w:kern w:val="0"/>
                <w:szCs w:val="21"/>
                <w:shd w:val="clear" w:color="auto" w:fill="FFFFFF"/>
                <w:lang w:bidi="ar"/>
              </w:rPr>
              <w:t>主要内容包括平台技术架构、功能要求、建设要求和安全要求等。</w:t>
            </w:r>
          </w:p>
        </w:tc>
        <w:tc>
          <w:tcPr>
            <w:tcW w:w="2169" w:type="dxa"/>
            <w:vAlign w:val="center"/>
          </w:tcPr>
          <w:p w14:paraId="39447434" w14:textId="731F7BD8" w:rsidR="00E1601D" w:rsidRDefault="00802AF9" w:rsidP="00802AF9">
            <w:pPr>
              <w:pStyle w:val="a3"/>
              <w:widowControl/>
              <w:spacing w:before="300" w:beforeAutospacing="0" w:after="300" w:afterAutospacing="0" w:line="240" w:lineRule="exact"/>
              <w:rPr>
                <w:rFonts w:ascii="仿宋" w:eastAsia="仿宋" w:hAnsi="仿宋" w:cs="仿宋"/>
                <w:color w:val="000000"/>
                <w:sz w:val="21"/>
                <w:szCs w:val="21"/>
                <w:shd w:val="clear" w:color="auto" w:fill="FFFFFF"/>
              </w:rPr>
            </w:pPr>
            <w:r w:rsidRPr="007347F4">
              <w:rPr>
                <w:rFonts w:ascii="仿宋" w:eastAsia="仿宋" w:hAnsi="仿宋" w:cs="仿宋"/>
                <w:color w:val="000000"/>
                <w:sz w:val="21"/>
                <w:szCs w:val="21"/>
                <w:shd w:val="clear" w:color="auto" w:fill="FFFFFF"/>
                <w:lang w:bidi="ar"/>
              </w:rPr>
              <w:t>中国信息通信研究院</w:t>
            </w:r>
          </w:p>
        </w:tc>
      </w:tr>
      <w:tr w:rsidR="00E1601D" w14:paraId="341ECD73" w14:textId="77777777" w:rsidTr="00002602">
        <w:trPr>
          <w:trHeight w:hRule="exact" w:val="4224"/>
        </w:trPr>
        <w:tc>
          <w:tcPr>
            <w:tcW w:w="1603" w:type="dxa"/>
            <w:vAlign w:val="center"/>
          </w:tcPr>
          <w:p w14:paraId="0339BFF0" w14:textId="497B9903" w:rsidR="00E1601D" w:rsidRDefault="00E1601D" w:rsidP="009E728C">
            <w:pPr>
              <w:pStyle w:val="a3"/>
              <w:widowControl/>
              <w:spacing w:before="300" w:beforeAutospacing="0" w:after="300" w:afterAutospacing="0" w:line="240" w:lineRule="exact"/>
              <w:jc w:val="center"/>
              <w:rPr>
                <w:rFonts w:ascii="仿宋" w:eastAsia="仿宋" w:hAnsi="仿宋" w:cs="仿宋"/>
                <w:color w:val="000000"/>
                <w:sz w:val="21"/>
                <w:szCs w:val="21"/>
                <w:shd w:val="clear" w:color="auto" w:fill="FFFFFF"/>
              </w:rPr>
            </w:pPr>
            <w:r>
              <w:rPr>
                <w:rFonts w:ascii="仿宋" w:eastAsia="仿宋" w:hAnsi="仿宋" w:cs="仿宋" w:hint="eastAsia"/>
                <w:color w:val="000000"/>
                <w:sz w:val="21"/>
                <w:szCs w:val="21"/>
                <w:shd w:val="clear" w:color="auto" w:fill="FFFFFF"/>
              </w:rPr>
              <w:t>0</w:t>
            </w:r>
            <w:r w:rsidR="00A80EFB">
              <w:rPr>
                <w:rFonts w:ascii="仿宋" w:eastAsia="仿宋" w:hAnsi="仿宋" w:cs="仿宋"/>
                <w:color w:val="000000"/>
                <w:sz w:val="21"/>
                <w:szCs w:val="21"/>
                <w:shd w:val="clear" w:color="auto" w:fill="FFFFFF"/>
              </w:rPr>
              <w:t>38</w:t>
            </w:r>
            <w:r>
              <w:rPr>
                <w:rFonts w:ascii="仿宋" w:eastAsia="仿宋" w:hAnsi="仿宋" w:cs="仿宋" w:hint="eastAsia"/>
                <w:color w:val="000000"/>
                <w:sz w:val="21"/>
                <w:szCs w:val="21"/>
                <w:shd w:val="clear" w:color="auto" w:fill="FFFFFF"/>
              </w:rPr>
              <w:t>-T/ISC-2</w:t>
            </w:r>
            <w:r w:rsidR="00A80EFB">
              <w:rPr>
                <w:rFonts w:ascii="仿宋" w:eastAsia="仿宋" w:hAnsi="仿宋" w:cs="仿宋"/>
                <w:color w:val="000000"/>
                <w:sz w:val="21"/>
                <w:szCs w:val="21"/>
                <w:shd w:val="clear" w:color="auto" w:fill="FFFFFF"/>
              </w:rPr>
              <w:t>2</w:t>
            </w:r>
          </w:p>
        </w:tc>
        <w:tc>
          <w:tcPr>
            <w:tcW w:w="2514" w:type="dxa"/>
            <w:vAlign w:val="center"/>
          </w:tcPr>
          <w:p w14:paraId="59851B60" w14:textId="0D000DA1" w:rsidR="00E1601D" w:rsidRDefault="00E1601D" w:rsidP="009E728C">
            <w:pPr>
              <w:pStyle w:val="a3"/>
              <w:widowControl/>
              <w:spacing w:before="300" w:beforeAutospacing="0" w:after="300" w:afterAutospacing="0" w:line="240" w:lineRule="exact"/>
              <w:jc w:val="center"/>
              <w:rPr>
                <w:rFonts w:ascii="仿宋" w:eastAsia="仿宋" w:hAnsi="仿宋" w:cs="仿宋"/>
                <w:color w:val="000000"/>
                <w:sz w:val="21"/>
                <w:szCs w:val="21"/>
                <w:shd w:val="clear" w:color="auto" w:fill="FFFFFF"/>
              </w:rPr>
            </w:pPr>
            <w:r>
              <w:rPr>
                <w:rFonts w:ascii="仿宋" w:eastAsia="仿宋" w:hAnsi="仿宋" w:cs="仿宋" w:hint="eastAsia"/>
                <w:color w:val="000000"/>
                <w:sz w:val="21"/>
                <w:szCs w:val="21"/>
                <w:shd w:val="clear" w:color="auto" w:fill="FFFFFF"/>
              </w:rPr>
              <w:t>《</w:t>
            </w:r>
            <w:r w:rsidRPr="00E1601D">
              <w:rPr>
                <w:rFonts w:ascii="仿宋" w:eastAsia="仿宋" w:hAnsi="仿宋" w:cs="仿宋" w:hint="eastAsia"/>
                <w:color w:val="000000"/>
                <w:sz w:val="21"/>
                <w:szCs w:val="21"/>
                <w:shd w:val="clear" w:color="auto" w:fill="FFFFFF"/>
              </w:rPr>
              <w:t>信息通信及互联网企业合规管理有效性评价方法</w:t>
            </w:r>
            <w:r>
              <w:rPr>
                <w:rFonts w:ascii="仿宋" w:eastAsia="仿宋" w:hAnsi="仿宋" w:cs="仿宋" w:hint="eastAsia"/>
                <w:color w:val="000000"/>
                <w:sz w:val="21"/>
                <w:szCs w:val="21"/>
                <w:shd w:val="clear" w:color="auto" w:fill="FFFFFF"/>
              </w:rPr>
              <w:t>》</w:t>
            </w:r>
          </w:p>
        </w:tc>
        <w:tc>
          <w:tcPr>
            <w:tcW w:w="1329" w:type="dxa"/>
            <w:vAlign w:val="center"/>
          </w:tcPr>
          <w:p w14:paraId="62780CC3" w14:textId="0B1C5179" w:rsidR="00E1601D" w:rsidRDefault="00E1601D" w:rsidP="009E728C">
            <w:pPr>
              <w:pStyle w:val="a3"/>
              <w:widowControl/>
              <w:spacing w:before="300" w:beforeAutospacing="0" w:after="300" w:afterAutospacing="0" w:line="240" w:lineRule="exact"/>
              <w:jc w:val="center"/>
              <w:rPr>
                <w:rFonts w:ascii="仿宋" w:eastAsia="仿宋" w:hAnsi="仿宋" w:cs="仿宋"/>
                <w:color w:val="000000"/>
                <w:sz w:val="21"/>
                <w:szCs w:val="21"/>
                <w:shd w:val="clear" w:color="auto" w:fill="FFFFFF"/>
              </w:rPr>
            </w:pPr>
            <w:r>
              <w:rPr>
                <w:rFonts w:ascii="仿宋" w:eastAsia="仿宋" w:hAnsi="仿宋" w:cs="仿宋" w:hint="eastAsia"/>
                <w:color w:val="000000"/>
                <w:sz w:val="21"/>
                <w:szCs w:val="21"/>
                <w:shd w:val="clear" w:color="auto" w:fill="FFFFFF"/>
              </w:rPr>
              <w:t>202</w:t>
            </w:r>
            <w:r w:rsidR="00ED22FE">
              <w:rPr>
                <w:rFonts w:ascii="仿宋" w:eastAsia="仿宋" w:hAnsi="仿宋" w:cs="仿宋"/>
                <w:color w:val="000000"/>
                <w:sz w:val="21"/>
                <w:szCs w:val="21"/>
                <w:shd w:val="clear" w:color="auto" w:fill="FFFFFF"/>
              </w:rPr>
              <w:t>2</w:t>
            </w:r>
            <w:r>
              <w:rPr>
                <w:rFonts w:ascii="仿宋" w:eastAsia="仿宋" w:hAnsi="仿宋" w:cs="仿宋" w:hint="eastAsia"/>
                <w:color w:val="000000"/>
                <w:sz w:val="21"/>
                <w:szCs w:val="21"/>
                <w:shd w:val="clear" w:color="auto" w:fill="FFFFFF"/>
              </w:rPr>
              <w:t>-12-31</w:t>
            </w:r>
          </w:p>
        </w:tc>
        <w:tc>
          <w:tcPr>
            <w:tcW w:w="6565" w:type="dxa"/>
            <w:vAlign w:val="center"/>
          </w:tcPr>
          <w:p w14:paraId="5F93B580" w14:textId="77777777" w:rsidR="00E1601D" w:rsidRPr="00002602" w:rsidRDefault="00002602" w:rsidP="009E728C">
            <w:pPr>
              <w:rPr>
                <w:rFonts w:ascii="仿宋" w:eastAsia="仿宋" w:hAnsi="仿宋" w:cs="仿宋"/>
                <w:color w:val="000000"/>
                <w:kern w:val="0"/>
                <w:szCs w:val="21"/>
                <w:shd w:val="clear" w:color="auto" w:fill="FFFFFF"/>
                <w:lang w:bidi="ar"/>
              </w:rPr>
            </w:pPr>
            <w:r w:rsidRPr="00002602">
              <w:rPr>
                <w:rFonts w:ascii="仿宋" w:eastAsia="仿宋" w:hAnsi="仿宋" w:cs="仿宋" w:hint="eastAsia"/>
                <w:color w:val="000000"/>
                <w:kern w:val="0"/>
                <w:szCs w:val="21"/>
                <w:shd w:val="clear" w:color="auto" w:fill="FFFFFF"/>
                <w:lang w:bidi="ar"/>
              </w:rPr>
              <w:t>标准的主要内容包括总则和分则两个部分。总则部分包括信息通信及互联网行业合规管理有效性评价的适用范围、规范性引用文件、术语和定义、有效性评价原则与内容概述、有效性评价的具体方法、有效性评价的流程设置、企业合规管理有效性评价报告等部分。</w:t>
            </w:r>
          </w:p>
          <w:p w14:paraId="328E9259" w14:textId="5EC30CB6" w:rsidR="00002602" w:rsidRPr="00002602" w:rsidRDefault="00002602" w:rsidP="00002602">
            <w:r w:rsidRPr="00002602">
              <w:rPr>
                <w:rFonts w:ascii="仿宋" w:eastAsia="仿宋" w:hAnsi="仿宋" w:cs="仿宋" w:hint="eastAsia"/>
                <w:color w:val="000000"/>
                <w:kern w:val="0"/>
                <w:szCs w:val="21"/>
                <w:shd w:val="clear" w:color="auto" w:fill="FFFFFF"/>
                <w:lang w:bidi="ar"/>
              </w:rPr>
              <w:t>分则部分，包括采购管理、网络安全、数据安全与管理、个人信息保护、出口管制、移动互联网应用程序（app）、反洗钱/反恐怖主义融资、第三方/供应链管理、反腐败、反垄断、反不正当竞争、</w:t>
            </w:r>
            <w:r w:rsidR="00240D1C">
              <w:rPr>
                <w:rFonts w:ascii="仿宋" w:eastAsia="仿宋" w:hAnsi="仿宋" w:cs="仿宋" w:hint="eastAsia"/>
                <w:color w:val="000000"/>
                <w:kern w:val="0"/>
                <w:szCs w:val="21"/>
                <w:shd w:val="clear" w:color="auto" w:fill="FFFFFF"/>
                <w:lang w:bidi="ar"/>
              </w:rPr>
              <w:t>知识</w:t>
            </w:r>
            <w:r w:rsidRPr="00002602">
              <w:rPr>
                <w:rFonts w:ascii="仿宋" w:eastAsia="仿宋" w:hAnsi="仿宋" w:cs="仿宋" w:hint="eastAsia"/>
                <w:color w:val="000000"/>
                <w:kern w:val="0"/>
                <w:szCs w:val="21"/>
                <w:shd w:val="clear" w:color="auto" w:fill="FFFFFF"/>
                <w:lang w:bidi="ar"/>
              </w:rPr>
              <w:t>产权、广告合规、内容合规、游戏合规、算法合规等多项专业领域的有效性评价要点与</w:t>
            </w:r>
            <w:r w:rsidR="00240D1C">
              <w:rPr>
                <w:rFonts w:ascii="仿宋" w:eastAsia="仿宋" w:hAnsi="仿宋" w:cs="仿宋" w:hint="eastAsia"/>
                <w:color w:val="000000"/>
                <w:kern w:val="0"/>
                <w:szCs w:val="21"/>
                <w:shd w:val="clear" w:color="auto" w:fill="FFFFFF"/>
                <w:lang w:bidi="ar"/>
              </w:rPr>
              <w:t>依据</w:t>
            </w:r>
            <w:r w:rsidRPr="00002602">
              <w:rPr>
                <w:rFonts w:ascii="仿宋" w:eastAsia="仿宋" w:hAnsi="仿宋" w:cs="仿宋" w:hint="eastAsia"/>
                <w:color w:val="000000"/>
                <w:kern w:val="0"/>
                <w:szCs w:val="21"/>
                <w:shd w:val="clear" w:color="auto" w:fill="FFFFFF"/>
                <w:lang w:bidi="ar"/>
              </w:rPr>
              <w:t>。旨在汇聚行业共识，为信息通信及互联网行业企业合规管理有效性评价提供规范和指引。</w:t>
            </w:r>
          </w:p>
        </w:tc>
        <w:tc>
          <w:tcPr>
            <w:tcW w:w="2169" w:type="dxa"/>
            <w:vAlign w:val="center"/>
          </w:tcPr>
          <w:p w14:paraId="22911D53" w14:textId="670601DB" w:rsidR="00E1601D" w:rsidRDefault="00802AF9" w:rsidP="009E728C">
            <w:pPr>
              <w:pStyle w:val="a3"/>
              <w:widowControl/>
              <w:spacing w:before="300" w:beforeAutospacing="0" w:after="300" w:afterAutospacing="0" w:line="240" w:lineRule="exact"/>
              <w:jc w:val="center"/>
              <w:rPr>
                <w:rFonts w:ascii="仿宋" w:eastAsia="仿宋" w:hAnsi="仿宋" w:cs="仿宋"/>
                <w:color w:val="000000"/>
                <w:sz w:val="21"/>
                <w:szCs w:val="21"/>
                <w:shd w:val="clear" w:color="auto" w:fill="FFFFFF"/>
              </w:rPr>
            </w:pPr>
            <w:r w:rsidRPr="007347F4">
              <w:rPr>
                <w:rFonts w:ascii="仿宋" w:eastAsia="仿宋" w:hAnsi="仿宋" w:cs="仿宋"/>
                <w:color w:val="000000"/>
                <w:sz w:val="21"/>
                <w:szCs w:val="21"/>
                <w:shd w:val="clear" w:color="auto" w:fill="FFFFFF"/>
                <w:lang w:bidi="ar"/>
              </w:rPr>
              <w:t>中国信息通信研究院</w:t>
            </w:r>
          </w:p>
        </w:tc>
      </w:tr>
    </w:tbl>
    <w:p w14:paraId="25141EC4" w14:textId="77777777" w:rsidR="006B3428" w:rsidRPr="00E1601D" w:rsidRDefault="006B3428"/>
    <w:sectPr w:rsidR="006B3428" w:rsidRPr="00E1601D">
      <w:pgSz w:w="16838" w:h="11906" w:orient="landscape"/>
      <w:pgMar w:top="118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2AFD" w14:textId="77777777" w:rsidR="007F44C9" w:rsidRDefault="007F44C9" w:rsidP="00C93255">
      <w:r>
        <w:separator/>
      </w:r>
    </w:p>
  </w:endnote>
  <w:endnote w:type="continuationSeparator" w:id="0">
    <w:p w14:paraId="4E6559E1" w14:textId="77777777" w:rsidR="007F44C9" w:rsidRDefault="007F44C9" w:rsidP="00C9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9E718" w14:textId="77777777" w:rsidR="007F44C9" w:rsidRDefault="007F44C9" w:rsidP="00C93255">
      <w:r>
        <w:separator/>
      </w:r>
    </w:p>
  </w:footnote>
  <w:footnote w:type="continuationSeparator" w:id="0">
    <w:p w14:paraId="503384F1" w14:textId="77777777" w:rsidR="007F44C9" w:rsidRDefault="007F44C9" w:rsidP="00C93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528389B"/>
    <w:rsid w:val="00002602"/>
    <w:rsid w:val="000117B7"/>
    <w:rsid w:val="00042C39"/>
    <w:rsid w:val="0006011F"/>
    <w:rsid w:val="000E5DAF"/>
    <w:rsid w:val="00223E17"/>
    <w:rsid w:val="00240D1C"/>
    <w:rsid w:val="002A557F"/>
    <w:rsid w:val="002D3CE6"/>
    <w:rsid w:val="00334D02"/>
    <w:rsid w:val="00440997"/>
    <w:rsid w:val="004951F2"/>
    <w:rsid w:val="00527FAA"/>
    <w:rsid w:val="00594497"/>
    <w:rsid w:val="0065170C"/>
    <w:rsid w:val="006532DE"/>
    <w:rsid w:val="006B3428"/>
    <w:rsid w:val="00711AB6"/>
    <w:rsid w:val="00720B1A"/>
    <w:rsid w:val="007347F4"/>
    <w:rsid w:val="007F44C9"/>
    <w:rsid w:val="00802AF9"/>
    <w:rsid w:val="0085041F"/>
    <w:rsid w:val="009253CD"/>
    <w:rsid w:val="00995557"/>
    <w:rsid w:val="00A80EFB"/>
    <w:rsid w:val="00C143E0"/>
    <w:rsid w:val="00C244DE"/>
    <w:rsid w:val="00C93255"/>
    <w:rsid w:val="00C94747"/>
    <w:rsid w:val="00DA06DA"/>
    <w:rsid w:val="00E1601D"/>
    <w:rsid w:val="00ED22FE"/>
    <w:rsid w:val="19300130"/>
    <w:rsid w:val="19C27A2F"/>
    <w:rsid w:val="3528389B"/>
    <w:rsid w:val="49C86A3B"/>
    <w:rsid w:val="4D7F3838"/>
    <w:rsid w:val="50D93324"/>
    <w:rsid w:val="7BA33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F975D7"/>
  <w15:docId w15:val="{2D779515-C62F-429C-AF11-9F520E5E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BodyText1I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2">
    <w:name w:val="BodyText1I2"/>
    <w:basedOn w:val="BodyTextIndent"/>
    <w:qFormat/>
    <w:pPr>
      <w:ind w:firstLine="420"/>
    </w:pPr>
  </w:style>
  <w:style w:type="paragraph" w:customStyle="1" w:styleId="BodyTextIndent">
    <w:name w:val="BodyTextIndent"/>
    <w:basedOn w:val="a"/>
    <w:qFormat/>
    <w:pPr>
      <w:spacing w:after="120"/>
      <w:ind w:leftChars="200" w:left="420"/>
    </w:pPr>
  </w:style>
  <w:style w:type="paragraph" w:styleId="a3">
    <w:name w:val="Normal (Web)"/>
    <w:basedOn w:val="a"/>
    <w:pPr>
      <w:spacing w:before="100" w:beforeAutospacing="1" w:after="100" w:afterAutospacing="1"/>
      <w:jc w:val="left"/>
    </w:pPr>
    <w:rPr>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9325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93255"/>
    <w:rPr>
      <w:kern w:val="2"/>
      <w:sz w:val="18"/>
      <w:szCs w:val="18"/>
    </w:rPr>
  </w:style>
  <w:style w:type="paragraph" w:styleId="a7">
    <w:name w:val="footer"/>
    <w:basedOn w:val="a"/>
    <w:link w:val="a8"/>
    <w:rsid w:val="00C93255"/>
    <w:pPr>
      <w:tabs>
        <w:tab w:val="center" w:pos="4153"/>
        <w:tab w:val="right" w:pos="8306"/>
      </w:tabs>
      <w:snapToGrid w:val="0"/>
      <w:jc w:val="left"/>
    </w:pPr>
    <w:rPr>
      <w:sz w:val="18"/>
      <w:szCs w:val="18"/>
    </w:rPr>
  </w:style>
  <w:style w:type="character" w:customStyle="1" w:styleId="a8">
    <w:name w:val="页脚 字符"/>
    <w:basedOn w:val="a0"/>
    <w:link w:val="a7"/>
    <w:rsid w:val="00C9325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WPS_1527732945</dc:creator>
  <cp:lastModifiedBy>白 茹</cp:lastModifiedBy>
  <cp:revision>11</cp:revision>
  <dcterms:created xsi:type="dcterms:W3CDTF">2021-07-08T07:18:00Z</dcterms:created>
  <dcterms:modified xsi:type="dcterms:W3CDTF">2022-04-14T06:47:00Z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D8C4196A47404384AECD6594C8FDD147</vt:lpwstr>
  </property>
</Properties>
</file>