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1482" w14:textId="77777777" w:rsidR="00E319EC" w:rsidRDefault="00E319EC">
      <w:pPr>
        <w:spacing w:line="600" w:lineRule="exact"/>
        <w:rPr>
          <w:rFonts w:ascii="Calibri" w:eastAsia="宋体" w:hAnsi="Calibri" w:cs="Times New Roman"/>
          <w:sz w:val="28"/>
          <w:szCs w:val="28"/>
        </w:rPr>
      </w:pPr>
    </w:p>
    <w:p w14:paraId="0CC67B9F" w14:textId="77777777" w:rsidR="00E319EC" w:rsidRDefault="00E319EC">
      <w:pPr>
        <w:spacing w:line="600" w:lineRule="exact"/>
        <w:ind w:firstLine="880"/>
        <w:jc w:val="center"/>
        <w:rPr>
          <w:sz w:val="44"/>
        </w:rPr>
      </w:pPr>
    </w:p>
    <w:p w14:paraId="358145AC" w14:textId="77777777" w:rsidR="00E319EC" w:rsidRDefault="00E319EC">
      <w:pPr>
        <w:spacing w:line="600" w:lineRule="exact"/>
        <w:ind w:firstLine="880"/>
        <w:jc w:val="center"/>
        <w:rPr>
          <w:sz w:val="44"/>
        </w:rPr>
      </w:pPr>
    </w:p>
    <w:p w14:paraId="3B5AB931" w14:textId="30A97CB6" w:rsidR="00E319EC" w:rsidRDefault="0042231B">
      <w:pPr>
        <w:spacing w:line="600" w:lineRule="exact"/>
        <w:jc w:val="center"/>
        <w:outlineLvl w:val="0"/>
        <w:rPr>
          <w:b/>
          <w:sz w:val="52"/>
          <w:szCs w:val="52"/>
        </w:rPr>
      </w:pPr>
      <w:bookmarkStart w:id="0" w:name="_Toc500768491"/>
      <w:bookmarkStart w:id="1" w:name="_Toc500766952"/>
      <w:bookmarkStart w:id="2" w:name="_Toc498508509"/>
      <w:bookmarkStart w:id="3" w:name="_Toc498518737"/>
      <w:r>
        <w:rPr>
          <w:rFonts w:hint="eastAsia"/>
          <w:b/>
          <w:sz w:val="52"/>
          <w:szCs w:val="52"/>
        </w:rPr>
        <w:t>《</w:t>
      </w:r>
      <w:r w:rsidR="00835235">
        <w:rPr>
          <w:rFonts w:hint="eastAsia"/>
          <w:b/>
          <w:sz w:val="52"/>
          <w:szCs w:val="52"/>
        </w:rPr>
        <w:t>数字孪生城市平台技术要求</w:t>
      </w:r>
      <w:r>
        <w:rPr>
          <w:rFonts w:hint="eastAsia"/>
          <w:b/>
          <w:sz w:val="52"/>
          <w:szCs w:val="52"/>
        </w:rPr>
        <w:t>》</w:t>
      </w:r>
      <w:bookmarkEnd w:id="0"/>
      <w:bookmarkEnd w:id="1"/>
      <w:bookmarkEnd w:id="2"/>
      <w:bookmarkEnd w:id="3"/>
    </w:p>
    <w:p w14:paraId="227F613F" w14:textId="77777777" w:rsidR="00E319EC" w:rsidRDefault="0042231B">
      <w:pPr>
        <w:spacing w:line="600" w:lineRule="exact"/>
        <w:jc w:val="center"/>
        <w:outlineLvl w:val="0"/>
        <w:rPr>
          <w:b/>
          <w:sz w:val="52"/>
          <w:szCs w:val="52"/>
        </w:rPr>
      </w:pPr>
      <w:bookmarkStart w:id="4" w:name="_Toc498518738"/>
      <w:bookmarkStart w:id="5" w:name="_Toc500766953"/>
      <w:bookmarkStart w:id="6" w:name="_Toc498508510"/>
      <w:bookmarkStart w:id="7" w:name="_Toc500768492"/>
      <w:r>
        <w:rPr>
          <w:rFonts w:hint="eastAsia"/>
          <w:b/>
          <w:sz w:val="52"/>
          <w:szCs w:val="52"/>
        </w:rPr>
        <w:t>标准</w:t>
      </w:r>
      <w:r>
        <w:rPr>
          <w:rFonts w:ascii="宋体" w:hAnsi="宋体" w:hint="eastAsia"/>
          <w:b/>
          <w:sz w:val="52"/>
          <w:szCs w:val="52"/>
        </w:rPr>
        <w:t>编制说明</w:t>
      </w:r>
      <w:bookmarkEnd w:id="4"/>
      <w:bookmarkEnd w:id="5"/>
      <w:bookmarkEnd w:id="6"/>
      <w:bookmarkEnd w:id="7"/>
    </w:p>
    <w:p w14:paraId="0BC27C91" w14:textId="77777777" w:rsidR="00E319EC" w:rsidRDefault="00E319EC">
      <w:pPr>
        <w:spacing w:line="600" w:lineRule="exact"/>
        <w:jc w:val="center"/>
        <w:rPr>
          <w:sz w:val="48"/>
        </w:rPr>
      </w:pPr>
    </w:p>
    <w:p w14:paraId="3F316F83" w14:textId="77777777" w:rsidR="00E319EC" w:rsidRDefault="00E319EC">
      <w:pPr>
        <w:spacing w:line="600" w:lineRule="exact"/>
        <w:jc w:val="center"/>
        <w:rPr>
          <w:sz w:val="48"/>
        </w:rPr>
      </w:pPr>
    </w:p>
    <w:p w14:paraId="668FCE34" w14:textId="77777777" w:rsidR="00E319EC" w:rsidRDefault="00E319EC">
      <w:pPr>
        <w:spacing w:line="600" w:lineRule="exact"/>
        <w:jc w:val="center"/>
        <w:rPr>
          <w:sz w:val="48"/>
        </w:rPr>
      </w:pPr>
    </w:p>
    <w:p w14:paraId="35E68406" w14:textId="77777777" w:rsidR="00E319EC" w:rsidRDefault="00E319EC">
      <w:pPr>
        <w:spacing w:line="600" w:lineRule="exact"/>
        <w:jc w:val="center"/>
        <w:rPr>
          <w:sz w:val="48"/>
        </w:rPr>
      </w:pPr>
    </w:p>
    <w:p w14:paraId="67639991" w14:textId="77777777" w:rsidR="00E319EC" w:rsidRDefault="00E319EC">
      <w:pPr>
        <w:spacing w:line="600" w:lineRule="exact"/>
        <w:jc w:val="center"/>
        <w:rPr>
          <w:sz w:val="48"/>
        </w:rPr>
      </w:pPr>
    </w:p>
    <w:p w14:paraId="73074323" w14:textId="77777777" w:rsidR="00E319EC" w:rsidRDefault="00E319EC">
      <w:pPr>
        <w:spacing w:line="600" w:lineRule="exact"/>
        <w:jc w:val="center"/>
        <w:rPr>
          <w:sz w:val="48"/>
        </w:rPr>
      </w:pPr>
    </w:p>
    <w:p w14:paraId="78A79264" w14:textId="77777777" w:rsidR="00E319EC" w:rsidRDefault="00E319EC">
      <w:pPr>
        <w:spacing w:line="600" w:lineRule="exact"/>
        <w:jc w:val="center"/>
        <w:rPr>
          <w:sz w:val="48"/>
        </w:rPr>
      </w:pPr>
    </w:p>
    <w:p w14:paraId="4FA8101F" w14:textId="77777777" w:rsidR="00E319EC" w:rsidRDefault="00E319EC">
      <w:pPr>
        <w:spacing w:line="600" w:lineRule="exact"/>
        <w:jc w:val="center"/>
        <w:rPr>
          <w:sz w:val="48"/>
        </w:rPr>
      </w:pPr>
    </w:p>
    <w:p w14:paraId="7D7F5099" w14:textId="77777777" w:rsidR="00E319EC" w:rsidRDefault="00E319EC">
      <w:pPr>
        <w:spacing w:line="600" w:lineRule="exact"/>
        <w:jc w:val="center"/>
        <w:rPr>
          <w:sz w:val="48"/>
        </w:rPr>
      </w:pPr>
    </w:p>
    <w:p w14:paraId="1843E789" w14:textId="77777777" w:rsidR="00E319EC" w:rsidRDefault="00E319EC">
      <w:pPr>
        <w:spacing w:line="600" w:lineRule="exact"/>
        <w:jc w:val="center"/>
        <w:rPr>
          <w:sz w:val="48"/>
        </w:rPr>
      </w:pPr>
    </w:p>
    <w:p w14:paraId="00162041" w14:textId="77777777" w:rsidR="00E319EC" w:rsidRDefault="00E319EC">
      <w:pPr>
        <w:spacing w:line="600" w:lineRule="exact"/>
        <w:jc w:val="center"/>
        <w:rPr>
          <w:sz w:val="48"/>
        </w:rPr>
      </w:pPr>
    </w:p>
    <w:p w14:paraId="6BE01AE7" w14:textId="7A44322D" w:rsidR="00E319EC" w:rsidRDefault="00835235">
      <w:pPr>
        <w:spacing w:line="600" w:lineRule="exact"/>
        <w:jc w:val="center"/>
        <w:rPr>
          <w:rFonts w:ascii="宋体" w:hAnsi="宋体"/>
          <w:sz w:val="30"/>
          <w:szCs w:val="30"/>
        </w:rPr>
      </w:pPr>
      <w:r>
        <w:rPr>
          <w:rFonts w:ascii="宋体" w:hAnsi="宋体" w:hint="eastAsia"/>
          <w:sz w:val="30"/>
          <w:szCs w:val="30"/>
        </w:rPr>
        <w:t>数字</w:t>
      </w:r>
      <w:proofErr w:type="gramStart"/>
      <w:r>
        <w:rPr>
          <w:rFonts w:ascii="宋体" w:hAnsi="宋体" w:hint="eastAsia"/>
          <w:sz w:val="30"/>
          <w:szCs w:val="30"/>
        </w:rPr>
        <w:t>孪生城市</w:t>
      </w:r>
      <w:proofErr w:type="gramEnd"/>
      <w:r>
        <w:rPr>
          <w:rFonts w:ascii="宋体" w:hAnsi="宋体" w:hint="eastAsia"/>
          <w:sz w:val="30"/>
          <w:szCs w:val="30"/>
        </w:rPr>
        <w:t>平台技术要求</w:t>
      </w:r>
      <w:r w:rsidR="0042231B">
        <w:rPr>
          <w:rFonts w:ascii="宋体" w:hAnsi="宋体" w:hint="eastAsia"/>
          <w:sz w:val="30"/>
          <w:szCs w:val="30"/>
        </w:rPr>
        <w:t>标准起草</w:t>
      </w:r>
      <w:r w:rsidR="0042231B">
        <w:rPr>
          <w:rFonts w:ascii="宋体" w:hAnsi="宋体"/>
          <w:sz w:val="30"/>
          <w:szCs w:val="30"/>
        </w:rPr>
        <w:t>组</w:t>
      </w:r>
    </w:p>
    <w:p w14:paraId="0F750017" w14:textId="61A08E4B" w:rsidR="00E319EC" w:rsidRDefault="00835235">
      <w:pPr>
        <w:spacing w:line="600" w:lineRule="exact"/>
        <w:jc w:val="center"/>
        <w:rPr>
          <w:rFonts w:ascii="宋体" w:hAnsi="宋体"/>
          <w:sz w:val="30"/>
          <w:szCs w:val="30"/>
        </w:rPr>
      </w:pPr>
      <w:r>
        <w:rPr>
          <w:rFonts w:ascii="宋体" w:hAnsi="宋体"/>
          <w:sz w:val="30"/>
          <w:szCs w:val="30"/>
        </w:rPr>
        <w:t>2022</w:t>
      </w:r>
      <w:r w:rsidR="0042231B">
        <w:rPr>
          <w:rFonts w:ascii="宋体" w:hAnsi="宋体" w:hint="eastAsia"/>
          <w:sz w:val="30"/>
          <w:szCs w:val="30"/>
        </w:rPr>
        <w:t>年</w:t>
      </w:r>
      <w:r w:rsidR="00654CDC">
        <w:rPr>
          <w:rFonts w:ascii="宋体" w:hAnsi="宋体"/>
          <w:sz w:val="30"/>
          <w:szCs w:val="30"/>
        </w:rPr>
        <w:t>4</w:t>
      </w:r>
      <w:r w:rsidR="0042231B">
        <w:rPr>
          <w:rFonts w:ascii="宋体" w:hAnsi="宋体" w:hint="eastAsia"/>
          <w:sz w:val="30"/>
          <w:szCs w:val="30"/>
        </w:rPr>
        <w:t>月</w:t>
      </w:r>
      <w:r>
        <w:rPr>
          <w:rFonts w:ascii="宋体" w:hAnsi="宋体"/>
          <w:sz w:val="30"/>
          <w:szCs w:val="30"/>
        </w:rPr>
        <w:t>20</w:t>
      </w:r>
      <w:r w:rsidR="0042231B">
        <w:rPr>
          <w:rFonts w:ascii="宋体" w:hAnsi="宋体" w:hint="eastAsia"/>
          <w:sz w:val="30"/>
          <w:szCs w:val="30"/>
        </w:rPr>
        <w:t>日</w:t>
      </w:r>
    </w:p>
    <w:p w14:paraId="16913053" w14:textId="77777777" w:rsidR="00E319EC" w:rsidRDefault="00E319EC">
      <w:pPr>
        <w:spacing w:line="600" w:lineRule="exact"/>
        <w:ind w:firstLineChars="200" w:firstLine="640"/>
        <w:outlineLvl w:val="0"/>
        <w:rPr>
          <w:rFonts w:ascii="仿宋" w:eastAsia="仿宋" w:hAnsi="仿宋" w:cs="仿宋"/>
          <w:bCs/>
          <w:color w:val="000000"/>
          <w:sz w:val="32"/>
          <w:szCs w:val="32"/>
        </w:rPr>
      </w:pPr>
    </w:p>
    <w:p w14:paraId="5AF79BF2" w14:textId="77777777" w:rsidR="00E319EC" w:rsidRDefault="0042231B">
      <w:pPr>
        <w:pStyle w:val="BodyText1I2"/>
      </w:pPr>
      <w:r>
        <w:br w:type="page"/>
      </w:r>
    </w:p>
    <w:p w14:paraId="68266ACE" w14:textId="77777777" w:rsidR="00E319EC" w:rsidRDefault="0042231B">
      <w:pPr>
        <w:numPr>
          <w:ilvl w:val="0"/>
          <w:numId w:val="1"/>
        </w:numPr>
        <w:autoSpaceDE w:val="0"/>
        <w:autoSpaceDN w:val="0"/>
        <w:adjustRightInd w:val="0"/>
        <w:spacing w:line="600" w:lineRule="exact"/>
        <w:jc w:val="left"/>
        <w:textAlignment w:val="bottom"/>
        <w:rPr>
          <w:rFonts w:ascii="仿宋" w:eastAsia="仿宋" w:hAnsi="仿宋" w:cs="新宋体"/>
          <w:sz w:val="28"/>
          <w:szCs w:val="28"/>
        </w:rPr>
      </w:pPr>
      <w:r>
        <w:rPr>
          <w:rFonts w:ascii="仿宋" w:eastAsia="仿宋" w:hAnsi="仿宋" w:cs="新宋体" w:hint="eastAsia"/>
          <w:sz w:val="28"/>
          <w:szCs w:val="28"/>
        </w:rPr>
        <w:lastRenderedPageBreak/>
        <w:t>标准范围。</w:t>
      </w:r>
    </w:p>
    <w:p w14:paraId="67BEA280" w14:textId="77777777" w:rsidR="00835235" w:rsidRPr="00835235" w:rsidRDefault="00835235" w:rsidP="00835235">
      <w:pPr>
        <w:pStyle w:val="a3"/>
        <w:ind w:left="360" w:firstLineChars="0" w:firstLine="0"/>
        <w:rPr>
          <w:rFonts w:ascii="仿宋" w:eastAsia="仿宋" w:hAnsi="仿宋"/>
          <w:sz w:val="28"/>
          <w:szCs w:val="24"/>
        </w:rPr>
      </w:pPr>
      <w:r w:rsidRPr="00835235">
        <w:rPr>
          <w:rFonts w:ascii="仿宋" w:eastAsia="仿宋" w:hAnsi="仿宋" w:hint="eastAsia"/>
          <w:sz w:val="28"/>
          <w:szCs w:val="24"/>
        </w:rPr>
        <w:t>本标准规定了数字</w:t>
      </w:r>
      <w:proofErr w:type="gramStart"/>
      <w:r w:rsidRPr="00835235">
        <w:rPr>
          <w:rFonts w:ascii="仿宋" w:eastAsia="仿宋" w:hAnsi="仿宋" w:hint="eastAsia"/>
          <w:sz w:val="28"/>
          <w:szCs w:val="24"/>
        </w:rPr>
        <w:t>孪生城市</w:t>
      </w:r>
      <w:proofErr w:type="gramEnd"/>
      <w:r w:rsidRPr="00835235">
        <w:rPr>
          <w:rFonts w:ascii="仿宋" w:eastAsia="仿宋" w:hAnsi="仿宋" w:hint="eastAsia"/>
          <w:sz w:val="28"/>
          <w:szCs w:val="24"/>
        </w:rPr>
        <w:t>平台应具备的技术能力。</w:t>
      </w:r>
    </w:p>
    <w:p w14:paraId="24DC3D26" w14:textId="037EB204" w:rsidR="00E319EC" w:rsidRPr="00835235" w:rsidRDefault="00835235" w:rsidP="00835235">
      <w:pPr>
        <w:pStyle w:val="a3"/>
        <w:ind w:left="360" w:firstLineChars="0" w:firstLine="0"/>
        <w:rPr>
          <w:rFonts w:ascii="仿宋" w:eastAsia="仿宋" w:hAnsi="仿宋"/>
          <w:sz w:val="28"/>
          <w:szCs w:val="24"/>
        </w:rPr>
      </w:pPr>
      <w:r w:rsidRPr="00835235">
        <w:rPr>
          <w:rFonts w:ascii="仿宋" w:eastAsia="仿宋" w:hAnsi="仿宋" w:hint="eastAsia"/>
          <w:sz w:val="28"/>
          <w:szCs w:val="24"/>
        </w:rPr>
        <w:t>本标准适用于数字</w:t>
      </w:r>
      <w:proofErr w:type="gramStart"/>
      <w:r w:rsidRPr="00835235">
        <w:rPr>
          <w:rFonts w:ascii="仿宋" w:eastAsia="仿宋" w:hAnsi="仿宋" w:hint="eastAsia"/>
          <w:sz w:val="28"/>
          <w:szCs w:val="24"/>
        </w:rPr>
        <w:t>孪生城市</w:t>
      </w:r>
      <w:proofErr w:type="gramEnd"/>
      <w:r w:rsidRPr="00835235">
        <w:rPr>
          <w:rFonts w:ascii="仿宋" w:eastAsia="仿宋" w:hAnsi="仿宋" w:hint="eastAsia"/>
          <w:sz w:val="28"/>
          <w:szCs w:val="24"/>
        </w:rPr>
        <w:t>平台的研发、测试、评估和验收等工作。</w:t>
      </w:r>
    </w:p>
    <w:p w14:paraId="3022AC41" w14:textId="77777777" w:rsidR="00E319EC" w:rsidRDefault="0042231B">
      <w:pPr>
        <w:numPr>
          <w:ilvl w:val="0"/>
          <w:numId w:val="1"/>
        </w:numPr>
        <w:autoSpaceDE w:val="0"/>
        <w:autoSpaceDN w:val="0"/>
        <w:adjustRightInd w:val="0"/>
        <w:spacing w:line="600" w:lineRule="exact"/>
        <w:jc w:val="left"/>
        <w:textAlignment w:val="bottom"/>
        <w:rPr>
          <w:rFonts w:ascii="仿宋" w:eastAsia="仿宋" w:hAnsi="仿宋" w:cs="新宋体"/>
          <w:sz w:val="28"/>
          <w:szCs w:val="28"/>
        </w:rPr>
      </w:pPr>
      <w:r>
        <w:rPr>
          <w:rFonts w:ascii="仿宋" w:eastAsia="仿宋" w:hAnsi="仿宋" w:cs="新宋体" w:hint="eastAsia"/>
          <w:sz w:val="28"/>
          <w:szCs w:val="28"/>
        </w:rPr>
        <w:t>工作简况。</w:t>
      </w:r>
    </w:p>
    <w:p w14:paraId="02617C88" w14:textId="5A445E02" w:rsidR="00835235" w:rsidRPr="00835235" w:rsidRDefault="00835235" w:rsidP="005D7C68">
      <w:pPr>
        <w:pStyle w:val="a3"/>
        <w:ind w:left="360" w:firstLine="560"/>
        <w:rPr>
          <w:rFonts w:ascii="仿宋" w:eastAsia="仿宋" w:hAnsi="仿宋"/>
          <w:sz w:val="28"/>
          <w:szCs w:val="24"/>
        </w:rPr>
      </w:pPr>
      <w:r w:rsidRPr="00835235">
        <w:rPr>
          <w:rFonts w:ascii="仿宋" w:eastAsia="仿宋" w:hAnsi="仿宋" w:hint="eastAsia"/>
          <w:sz w:val="28"/>
          <w:szCs w:val="24"/>
        </w:rPr>
        <w:t>本标准由中国信息通信研究院作为牵头单位起草。参加单位为阿里巴巴、五一视界、</w:t>
      </w:r>
      <w:hyperlink r:id="rId8" w:tgtFrame="_blank" w:history="1">
        <w:r w:rsidRPr="00835235">
          <w:rPr>
            <w:rFonts w:ascii="仿宋" w:eastAsia="仿宋" w:hAnsi="仿宋"/>
            <w:sz w:val="28"/>
            <w:szCs w:val="24"/>
          </w:rPr>
          <w:t>北京优锘科技有限公司</w:t>
        </w:r>
      </w:hyperlink>
      <w:r w:rsidRPr="00835235">
        <w:rPr>
          <w:rFonts w:ascii="仿宋" w:eastAsia="仿宋" w:hAnsi="仿宋" w:hint="eastAsia"/>
          <w:sz w:val="28"/>
          <w:szCs w:val="24"/>
        </w:rPr>
        <w:t>、</w:t>
      </w:r>
      <w:hyperlink r:id="rId9" w:tgtFrame="_blank" w:history="1">
        <w:r w:rsidRPr="00835235">
          <w:rPr>
            <w:rFonts w:ascii="仿宋" w:eastAsia="仿宋" w:hAnsi="仿宋"/>
            <w:sz w:val="28"/>
            <w:szCs w:val="24"/>
          </w:rPr>
          <w:t>北京超图软件股份有限公司</w:t>
        </w:r>
      </w:hyperlink>
      <w:r w:rsidRPr="00835235">
        <w:rPr>
          <w:rFonts w:ascii="仿宋" w:eastAsia="仿宋" w:hAnsi="仿宋" w:hint="eastAsia"/>
          <w:sz w:val="28"/>
          <w:szCs w:val="24"/>
        </w:rPr>
        <w:t>、</w:t>
      </w:r>
      <w:r w:rsidRPr="00835235">
        <w:rPr>
          <w:rFonts w:ascii="仿宋" w:eastAsia="仿宋" w:hAnsi="仿宋"/>
          <w:sz w:val="28"/>
          <w:szCs w:val="24"/>
        </w:rPr>
        <w:t>中国联合网络通信集团有限公司、</w:t>
      </w:r>
      <w:r w:rsidRPr="00835235">
        <w:rPr>
          <w:rFonts w:ascii="仿宋" w:eastAsia="仿宋" w:hAnsi="仿宋" w:hint="eastAsia"/>
          <w:sz w:val="28"/>
          <w:szCs w:val="24"/>
        </w:rPr>
        <w:t>亚信科技控股有限公司、</w:t>
      </w:r>
      <w:hyperlink r:id="rId10" w:tgtFrame="_blank" w:history="1">
        <w:proofErr w:type="gramStart"/>
        <w:r w:rsidRPr="00835235">
          <w:rPr>
            <w:rFonts w:ascii="仿宋" w:eastAsia="仿宋" w:hAnsi="仿宋"/>
            <w:sz w:val="28"/>
            <w:szCs w:val="24"/>
          </w:rPr>
          <w:t>软通智慧</w:t>
        </w:r>
        <w:proofErr w:type="gramEnd"/>
        <w:r w:rsidRPr="00835235">
          <w:rPr>
            <w:rFonts w:ascii="仿宋" w:eastAsia="仿宋" w:hAnsi="仿宋"/>
            <w:sz w:val="28"/>
            <w:szCs w:val="24"/>
          </w:rPr>
          <w:t>科技有限公司</w:t>
        </w:r>
      </w:hyperlink>
      <w:r w:rsidRPr="00835235">
        <w:rPr>
          <w:rFonts w:ascii="仿宋" w:eastAsia="仿宋" w:hAnsi="仿宋" w:hint="eastAsia"/>
          <w:sz w:val="28"/>
          <w:szCs w:val="24"/>
        </w:rPr>
        <w:t>、紫金山智慧城市研究院、北京睿呈时代信息科技有限公司、北京泰豪、科大讯飞、北京世纪高通科技有限公司、</w:t>
      </w:r>
      <w:proofErr w:type="gramStart"/>
      <w:r w:rsidRPr="00835235">
        <w:rPr>
          <w:rFonts w:ascii="仿宋" w:eastAsia="仿宋" w:hAnsi="仿宋" w:hint="eastAsia"/>
          <w:sz w:val="28"/>
          <w:szCs w:val="24"/>
        </w:rPr>
        <w:t>泰瑞数创</w:t>
      </w:r>
      <w:proofErr w:type="gramEnd"/>
      <w:r w:rsidRPr="00835235">
        <w:rPr>
          <w:rFonts w:ascii="仿宋" w:eastAsia="仿宋" w:hAnsi="仿宋" w:hint="eastAsia"/>
          <w:sz w:val="28"/>
          <w:szCs w:val="24"/>
        </w:rPr>
        <w:t>、北京数字冰雹信息技术有限公司等中国互联网协会相关成员单位等等</w:t>
      </w:r>
    </w:p>
    <w:p w14:paraId="3D36FE19" w14:textId="13F40670" w:rsidR="00E319EC" w:rsidRPr="005D7C68" w:rsidRDefault="00835235" w:rsidP="005D7C68">
      <w:pPr>
        <w:pStyle w:val="a3"/>
        <w:ind w:left="360" w:firstLine="560"/>
        <w:rPr>
          <w:rFonts w:ascii="仿宋" w:eastAsia="仿宋" w:hAnsi="仿宋" w:hint="eastAsia"/>
          <w:sz w:val="28"/>
          <w:szCs w:val="24"/>
        </w:rPr>
      </w:pPr>
      <w:r w:rsidRPr="00835235">
        <w:rPr>
          <w:rFonts w:ascii="仿宋" w:eastAsia="仿宋" w:hAnsi="仿宋" w:hint="eastAsia"/>
          <w:sz w:val="28"/>
          <w:szCs w:val="24"/>
        </w:rPr>
        <w:t>本标准于</w:t>
      </w:r>
      <w:r w:rsidR="00316BC2">
        <w:rPr>
          <w:rFonts w:ascii="仿宋" w:eastAsia="仿宋" w:hAnsi="仿宋"/>
          <w:sz w:val="28"/>
          <w:szCs w:val="24"/>
        </w:rPr>
        <w:t>2022</w:t>
      </w:r>
      <w:r w:rsidRPr="00835235">
        <w:rPr>
          <w:rFonts w:ascii="仿宋" w:eastAsia="仿宋" w:hAnsi="仿宋" w:hint="eastAsia"/>
          <w:sz w:val="28"/>
          <w:szCs w:val="24"/>
        </w:rPr>
        <w:t>年</w:t>
      </w:r>
      <w:r w:rsidR="00316BC2">
        <w:rPr>
          <w:rFonts w:ascii="仿宋" w:eastAsia="仿宋" w:hAnsi="仿宋"/>
          <w:sz w:val="28"/>
          <w:szCs w:val="24"/>
        </w:rPr>
        <w:t>1</w:t>
      </w:r>
      <w:r w:rsidRPr="00835235">
        <w:rPr>
          <w:rFonts w:ascii="仿宋" w:eastAsia="仿宋" w:hAnsi="仿宋" w:hint="eastAsia"/>
          <w:sz w:val="28"/>
          <w:szCs w:val="24"/>
        </w:rPr>
        <w:t>月日在</w:t>
      </w:r>
      <w:r w:rsidR="00316BC2">
        <w:rPr>
          <w:rFonts w:ascii="仿宋" w:eastAsia="仿宋" w:hAnsi="仿宋" w:hint="eastAsia"/>
          <w:sz w:val="28"/>
          <w:szCs w:val="24"/>
        </w:rPr>
        <w:t>互联网协会</w:t>
      </w:r>
      <w:r w:rsidRPr="00835235">
        <w:rPr>
          <w:rFonts w:ascii="仿宋" w:eastAsia="仿宋" w:hAnsi="仿宋" w:hint="eastAsia"/>
          <w:sz w:val="28"/>
          <w:szCs w:val="24"/>
        </w:rPr>
        <w:t>通过立项；随后，起草组成员</w:t>
      </w:r>
      <w:r w:rsidR="00316BC2">
        <w:rPr>
          <w:rFonts w:ascii="仿宋" w:eastAsia="仿宋" w:hAnsi="仿宋" w:hint="eastAsia"/>
          <w:sz w:val="28"/>
          <w:szCs w:val="24"/>
        </w:rPr>
        <w:t>召开了研讨会</w:t>
      </w:r>
      <w:r w:rsidRPr="00835235">
        <w:rPr>
          <w:rFonts w:ascii="仿宋" w:eastAsia="仿宋" w:hAnsi="仿宋" w:hint="eastAsia"/>
          <w:sz w:val="28"/>
          <w:szCs w:val="24"/>
        </w:rPr>
        <w:t>针对标准拟修改的条款进行了深入的讨论形成了最终的征求意见稿。</w:t>
      </w:r>
    </w:p>
    <w:p w14:paraId="01BEDFAD" w14:textId="77777777" w:rsidR="00E319EC" w:rsidRDefault="0042231B">
      <w:pPr>
        <w:spacing w:line="600" w:lineRule="exact"/>
        <w:ind w:left="420" w:hangingChars="150" w:hanging="420"/>
        <w:rPr>
          <w:rFonts w:ascii="仿宋" w:eastAsia="仿宋" w:hAnsi="仿宋" w:cs="新宋体"/>
          <w:sz w:val="28"/>
          <w:szCs w:val="28"/>
        </w:rPr>
      </w:pPr>
      <w:r>
        <w:rPr>
          <w:rFonts w:ascii="仿宋" w:eastAsia="仿宋" w:hAnsi="仿宋" w:cs="新宋体" w:hint="eastAsia"/>
          <w:sz w:val="28"/>
          <w:szCs w:val="28"/>
        </w:rPr>
        <w:t>3、标准编制原则和确定标准主要内容的依据：</w:t>
      </w:r>
    </w:p>
    <w:p w14:paraId="41B180C7" w14:textId="6E540E0F" w:rsidR="005D7C68" w:rsidRPr="005D7C68" w:rsidRDefault="005D7C68" w:rsidP="005D7C68">
      <w:pPr>
        <w:pStyle w:val="a3"/>
        <w:ind w:left="357" w:firstLine="560"/>
        <w:rPr>
          <w:rFonts w:ascii="仿宋" w:eastAsia="仿宋" w:hAnsi="仿宋"/>
          <w:sz w:val="28"/>
          <w:szCs w:val="24"/>
        </w:rPr>
      </w:pPr>
      <w:r w:rsidRPr="005D7C68">
        <w:rPr>
          <w:rFonts w:ascii="仿宋" w:eastAsia="仿宋" w:hAnsi="仿宋" w:hint="eastAsia"/>
          <w:sz w:val="28"/>
          <w:szCs w:val="24"/>
        </w:rPr>
        <w:t>本标准按照GB/T 1.1—</w:t>
      </w:r>
      <w:r>
        <w:rPr>
          <w:rFonts w:ascii="仿宋" w:eastAsia="仿宋" w:hAnsi="仿宋"/>
          <w:sz w:val="28"/>
          <w:szCs w:val="24"/>
        </w:rPr>
        <w:t>2020</w:t>
      </w:r>
      <w:r w:rsidRPr="005D7C68">
        <w:rPr>
          <w:rFonts w:ascii="仿宋" w:eastAsia="仿宋" w:hAnsi="仿宋" w:hint="eastAsia"/>
          <w:sz w:val="28"/>
          <w:szCs w:val="24"/>
        </w:rPr>
        <w:t>给出的规则起草。</w:t>
      </w:r>
    </w:p>
    <w:p w14:paraId="51A636FF" w14:textId="77777777" w:rsidR="005D7C68" w:rsidRPr="005D7C68" w:rsidRDefault="005D7C68" w:rsidP="005D7C68">
      <w:pPr>
        <w:pStyle w:val="a3"/>
        <w:ind w:left="357" w:firstLine="560"/>
        <w:rPr>
          <w:rFonts w:ascii="仿宋" w:eastAsia="仿宋" w:hAnsi="仿宋" w:hint="eastAsia"/>
          <w:sz w:val="28"/>
          <w:szCs w:val="24"/>
        </w:rPr>
      </w:pPr>
      <w:r w:rsidRPr="005D7C68">
        <w:rPr>
          <w:rFonts w:ascii="仿宋" w:eastAsia="仿宋" w:hAnsi="仿宋" w:hint="eastAsia"/>
          <w:sz w:val="28"/>
          <w:szCs w:val="24"/>
        </w:rPr>
        <w:t>编写过程中贯彻国家关于积极采用国际标准的政策，密切结合我国国情，做到技术先进合理、使用方便、切实可行。</w:t>
      </w:r>
    </w:p>
    <w:p w14:paraId="1297941E" w14:textId="18D95AF3" w:rsidR="00E319EC" w:rsidRPr="005D7C68" w:rsidRDefault="005D7C68" w:rsidP="005D7C68">
      <w:pPr>
        <w:pStyle w:val="a3"/>
        <w:ind w:left="360" w:firstLine="560"/>
        <w:rPr>
          <w:rFonts w:ascii="仿宋" w:eastAsia="仿宋" w:hAnsi="仿宋" w:hint="eastAsia"/>
          <w:sz w:val="28"/>
          <w:szCs w:val="24"/>
        </w:rPr>
      </w:pPr>
      <w:r w:rsidRPr="005D7C68">
        <w:rPr>
          <w:rFonts w:ascii="仿宋" w:eastAsia="仿宋" w:hAnsi="仿宋"/>
          <w:sz w:val="28"/>
          <w:szCs w:val="24"/>
        </w:rPr>
        <w:t>本标准</w:t>
      </w:r>
      <w:r w:rsidRPr="005D7C68">
        <w:rPr>
          <w:rFonts w:ascii="仿宋" w:eastAsia="仿宋" w:hAnsi="仿宋" w:hint="eastAsia"/>
          <w:sz w:val="28"/>
          <w:szCs w:val="24"/>
        </w:rPr>
        <w:t>规范</w:t>
      </w:r>
      <w:r w:rsidRPr="005D7C68">
        <w:rPr>
          <w:rFonts w:ascii="仿宋" w:eastAsia="仿宋" w:hAnsi="仿宋"/>
          <w:sz w:val="28"/>
          <w:szCs w:val="24"/>
        </w:rPr>
        <w:t>了</w:t>
      </w:r>
      <w:r w:rsidRPr="005D7C68">
        <w:rPr>
          <w:rFonts w:ascii="仿宋" w:eastAsia="仿宋" w:hAnsi="仿宋" w:hint="eastAsia"/>
          <w:sz w:val="28"/>
          <w:szCs w:val="24"/>
        </w:rPr>
        <w:t>数字</w:t>
      </w:r>
      <w:proofErr w:type="gramStart"/>
      <w:r w:rsidRPr="005D7C68">
        <w:rPr>
          <w:rFonts w:ascii="仿宋" w:eastAsia="仿宋" w:hAnsi="仿宋" w:hint="eastAsia"/>
          <w:sz w:val="28"/>
          <w:szCs w:val="24"/>
        </w:rPr>
        <w:t>孪生城市</w:t>
      </w:r>
      <w:proofErr w:type="gramEnd"/>
      <w:r w:rsidRPr="005D7C68">
        <w:rPr>
          <w:rFonts w:ascii="仿宋" w:eastAsia="仿宋" w:hAnsi="仿宋" w:hint="eastAsia"/>
          <w:sz w:val="28"/>
          <w:szCs w:val="24"/>
        </w:rPr>
        <w:t>系统平台</w:t>
      </w:r>
      <w:r w:rsidRPr="005D7C68">
        <w:rPr>
          <w:rFonts w:ascii="仿宋" w:eastAsia="仿宋" w:hAnsi="仿宋"/>
          <w:sz w:val="28"/>
          <w:szCs w:val="24"/>
        </w:rPr>
        <w:t>的技术要求</w:t>
      </w:r>
      <w:r w:rsidRPr="005D7C68">
        <w:rPr>
          <w:rFonts w:ascii="仿宋" w:eastAsia="仿宋" w:hAnsi="仿宋" w:hint="eastAsia"/>
          <w:sz w:val="28"/>
          <w:szCs w:val="24"/>
        </w:rPr>
        <w:t>，主要</w:t>
      </w:r>
      <w:proofErr w:type="gramStart"/>
      <w:r w:rsidRPr="005D7C68">
        <w:rPr>
          <w:rFonts w:ascii="仿宋" w:eastAsia="仿宋" w:hAnsi="仿宋" w:hint="eastAsia"/>
          <w:sz w:val="28"/>
          <w:szCs w:val="24"/>
        </w:rPr>
        <w:t>包括物联感知</w:t>
      </w:r>
      <w:proofErr w:type="gramEnd"/>
      <w:r w:rsidRPr="005D7C68">
        <w:rPr>
          <w:rFonts w:ascii="仿宋" w:eastAsia="仿宋" w:hAnsi="仿宋" w:hint="eastAsia"/>
          <w:sz w:val="28"/>
          <w:szCs w:val="24"/>
        </w:rPr>
        <w:t>操控能力，全要素数字化表达能力，可视化呈现能力，数据融合供给能力，空间分析计算能力，模拟仿真推演能力，虚</w:t>
      </w:r>
      <w:r w:rsidRPr="005D7C68">
        <w:rPr>
          <w:rFonts w:ascii="仿宋" w:eastAsia="仿宋" w:hAnsi="仿宋" w:hint="eastAsia"/>
          <w:sz w:val="28"/>
          <w:szCs w:val="24"/>
        </w:rPr>
        <w:lastRenderedPageBreak/>
        <w:t>实融合互动能力，自学习自优化能力，</w:t>
      </w:r>
      <w:proofErr w:type="gramStart"/>
      <w:r w:rsidRPr="005D7C68">
        <w:rPr>
          <w:rFonts w:ascii="仿宋" w:eastAsia="仿宋" w:hAnsi="仿宋" w:hint="eastAsia"/>
          <w:sz w:val="28"/>
          <w:szCs w:val="24"/>
        </w:rPr>
        <w:t>众创扩展</w:t>
      </w:r>
      <w:proofErr w:type="gramEnd"/>
      <w:r w:rsidRPr="005D7C68">
        <w:rPr>
          <w:rFonts w:ascii="仿宋" w:eastAsia="仿宋" w:hAnsi="仿宋" w:hint="eastAsia"/>
          <w:sz w:val="28"/>
          <w:szCs w:val="24"/>
        </w:rPr>
        <w:t>应用能力</w:t>
      </w:r>
      <w:r w:rsidRPr="005D7C68">
        <w:rPr>
          <w:rFonts w:ascii="仿宋" w:eastAsia="仿宋" w:hAnsi="仿宋"/>
          <w:sz w:val="28"/>
          <w:szCs w:val="24"/>
        </w:rPr>
        <w:t>等核心</w:t>
      </w:r>
      <w:r w:rsidRPr="005D7C68">
        <w:rPr>
          <w:rFonts w:ascii="仿宋" w:eastAsia="仿宋" w:hAnsi="仿宋" w:hint="eastAsia"/>
          <w:sz w:val="28"/>
          <w:szCs w:val="24"/>
        </w:rPr>
        <w:t>能力</w:t>
      </w:r>
      <w:r w:rsidRPr="005D7C68">
        <w:rPr>
          <w:rFonts w:ascii="仿宋" w:eastAsia="仿宋" w:hAnsi="仿宋"/>
          <w:sz w:val="28"/>
          <w:szCs w:val="24"/>
        </w:rPr>
        <w:t>的</w:t>
      </w:r>
      <w:r w:rsidRPr="005D7C68">
        <w:rPr>
          <w:rFonts w:ascii="仿宋" w:eastAsia="仿宋" w:hAnsi="仿宋" w:hint="eastAsia"/>
          <w:sz w:val="28"/>
          <w:szCs w:val="24"/>
        </w:rPr>
        <w:t>技术要求。</w:t>
      </w:r>
      <w:r w:rsidRPr="005D7C68">
        <w:rPr>
          <w:rFonts w:ascii="仿宋" w:eastAsia="仿宋" w:hAnsi="仿宋"/>
          <w:sz w:val="28"/>
          <w:szCs w:val="24"/>
        </w:rPr>
        <w:t xml:space="preserve"> 本标准适用于</w:t>
      </w:r>
      <w:r w:rsidRPr="005D7C68">
        <w:rPr>
          <w:rFonts w:ascii="仿宋" w:eastAsia="仿宋" w:hAnsi="仿宋" w:hint="eastAsia"/>
          <w:sz w:val="28"/>
          <w:szCs w:val="24"/>
        </w:rPr>
        <w:t>数字</w:t>
      </w:r>
      <w:proofErr w:type="gramStart"/>
      <w:r w:rsidRPr="005D7C68">
        <w:rPr>
          <w:rFonts w:ascii="仿宋" w:eastAsia="仿宋" w:hAnsi="仿宋" w:hint="eastAsia"/>
          <w:sz w:val="28"/>
          <w:szCs w:val="24"/>
        </w:rPr>
        <w:t>孪生城市</w:t>
      </w:r>
      <w:proofErr w:type="gramEnd"/>
      <w:r w:rsidRPr="005D7C68">
        <w:rPr>
          <w:rFonts w:ascii="仿宋" w:eastAsia="仿宋" w:hAnsi="仿宋" w:hint="eastAsia"/>
          <w:sz w:val="28"/>
          <w:szCs w:val="24"/>
        </w:rPr>
        <w:t>系统平台的</w:t>
      </w:r>
      <w:r w:rsidRPr="005D7C68">
        <w:rPr>
          <w:rFonts w:ascii="仿宋" w:eastAsia="仿宋" w:hAnsi="仿宋"/>
          <w:sz w:val="28"/>
          <w:szCs w:val="24"/>
        </w:rPr>
        <w:t xml:space="preserve">设计、研发、测试、评估和验收等。 </w:t>
      </w:r>
    </w:p>
    <w:p w14:paraId="5C19F314" w14:textId="77777777" w:rsidR="00E319EC" w:rsidRDefault="0042231B">
      <w:pPr>
        <w:spacing w:line="600" w:lineRule="exact"/>
        <w:rPr>
          <w:rFonts w:ascii="仿宋" w:eastAsia="仿宋" w:hAnsi="仿宋" w:cs="新宋体"/>
          <w:sz w:val="28"/>
          <w:szCs w:val="28"/>
        </w:rPr>
      </w:pPr>
      <w:r>
        <w:rPr>
          <w:rFonts w:ascii="仿宋" w:eastAsia="仿宋" w:hAnsi="仿宋" w:cs="新宋体" w:hint="eastAsia"/>
          <w:sz w:val="28"/>
          <w:szCs w:val="28"/>
        </w:rPr>
        <w:t>4、主要试验（或验证）的分析、综述报告。</w:t>
      </w:r>
    </w:p>
    <w:p w14:paraId="6A8F2F3D" w14:textId="6695E587" w:rsidR="00E319EC" w:rsidRPr="00EA68CB" w:rsidRDefault="00EA68CB" w:rsidP="00EA68CB">
      <w:pPr>
        <w:pStyle w:val="a3"/>
        <w:ind w:left="360" w:firstLine="560"/>
        <w:rPr>
          <w:rFonts w:ascii="仿宋" w:eastAsia="仿宋" w:hAnsi="仿宋" w:hint="eastAsia"/>
          <w:sz w:val="28"/>
          <w:szCs w:val="24"/>
        </w:rPr>
      </w:pPr>
      <w:r w:rsidRPr="00EA68CB">
        <w:rPr>
          <w:rFonts w:ascii="仿宋" w:eastAsia="仿宋" w:hAnsi="仿宋" w:hint="eastAsia"/>
          <w:sz w:val="28"/>
          <w:szCs w:val="24"/>
        </w:rPr>
        <w:t>本标准起草过程中，我们对20多家企业进行调研，并进行了多轮专家论证，证明</w:t>
      </w:r>
      <w:r>
        <w:rPr>
          <w:rFonts w:ascii="仿宋" w:eastAsia="仿宋" w:hAnsi="仿宋" w:hint="eastAsia"/>
          <w:sz w:val="28"/>
          <w:szCs w:val="24"/>
        </w:rPr>
        <w:t>数字</w:t>
      </w:r>
      <w:proofErr w:type="gramStart"/>
      <w:r>
        <w:rPr>
          <w:rFonts w:ascii="仿宋" w:eastAsia="仿宋" w:hAnsi="仿宋" w:hint="eastAsia"/>
          <w:sz w:val="28"/>
          <w:szCs w:val="24"/>
        </w:rPr>
        <w:t>孪生城市</w:t>
      </w:r>
      <w:proofErr w:type="gramEnd"/>
      <w:r>
        <w:rPr>
          <w:rFonts w:ascii="仿宋" w:eastAsia="仿宋" w:hAnsi="仿宋" w:hint="eastAsia"/>
          <w:sz w:val="28"/>
          <w:szCs w:val="24"/>
        </w:rPr>
        <w:t>共性技术平台</w:t>
      </w:r>
      <w:r w:rsidRPr="00EA68CB">
        <w:rPr>
          <w:rFonts w:ascii="仿宋" w:eastAsia="仿宋" w:hAnsi="仿宋" w:hint="eastAsia"/>
          <w:sz w:val="28"/>
          <w:szCs w:val="24"/>
        </w:rPr>
        <w:t>应</w:t>
      </w:r>
      <w:proofErr w:type="gramStart"/>
      <w:r w:rsidRPr="00EA68CB">
        <w:rPr>
          <w:rFonts w:ascii="仿宋" w:eastAsia="仿宋" w:hAnsi="仿宋" w:hint="eastAsia"/>
          <w:sz w:val="28"/>
          <w:szCs w:val="24"/>
        </w:rPr>
        <w:t>具备</w:t>
      </w:r>
      <w:r w:rsidRPr="005D7C68">
        <w:rPr>
          <w:rFonts w:ascii="仿宋" w:eastAsia="仿宋" w:hAnsi="仿宋" w:hint="eastAsia"/>
          <w:sz w:val="28"/>
          <w:szCs w:val="24"/>
        </w:rPr>
        <w:t>物联感知</w:t>
      </w:r>
      <w:proofErr w:type="gramEnd"/>
      <w:r w:rsidRPr="005D7C68">
        <w:rPr>
          <w:rFonts w:ascii="仿宋" w:eastAsia="仿宋" w:hAnsi="仿宋" w:hint="eastAsia"/>
          <w:sz w:val="28"/>
          <w:szCs w:val="24"/>
        </w:rPr>
        <w:t>操控能力，全要素数字化表达能力，可视化呈现能力，数据融合供给能力，空间分析计算能力，模拟仿真推演能力，虚实融合互动能力，自学习自优化能力，</w:t>
      </w:r>
      <w:proofErr w:type="gramStart"/>
      <w:r w:rsidRPr="005D7C68">
        <w:rPr>
          <w:rFonts w:ascii="仿宋" w:eastAsia="仿宋" w:hAnsi="仿宋" w:hint="eastAsia"/>
          <w:sz w:val="28"/>
          <w:szCs w:val="24"/>
        </w:rPr>
        <w:t>众创扩展</w:t>
      </w:r>
      <w:proofErr w:type="gramEnd"/>
      <w:r w:rsidRPr="005D7C68">
        <w:rPr>
          <w:rFonts w:ascii="仿宋" w:eastAsia="仿宋" w:hAnsi="仿宋" w:hint="eastAsia"/>
          <w:sz w:val="28"/>
          <w:szCs w:val="24"/>
        </w:rPr>
        <w:t>应用能力</w:t>
      </w:r>
      <w:r w:rsidRPr="005D7C68">
        <w:rPr>
          <w:rFonts w:ascii="仿宋" w:eastAsia="仿宋" w:hAnsi="仿宋"/>
          <w:sz w:val="28"/>
          <w:szCs w:val="24"/>
        </w:rPr>
        <w:t>等核心</w:t>
      </w:r>
      <w:r w:rsidRPr="005D7C68">
        <w:rPr>
          <w:rFonts w:ascii="仿宋" w:eastAsia="仿宋" w:hAnsi="仿宋" w:hint="eastAsia"/>
          <w:sz w:val="28"/>
          <w:szCs w:val="24"/>
        </w:rPr>
        <w:t>能力</w:t>
      </w:r>
      <w:r w:rsidRPr="005D7C68">
        <w:rPr>
          <w:rFonts w:ascii="仿宋" w:eastAsia="仿宋" w:hAnsi="仿宋"/>
          <w:sz w:val="28"/>
          <w:szCs w:val="24"/>
        </w:rPr>
        <w:t>的</w:t>
      </w:r>
      <w:r w:rsidRPr="005D7C68">
        <w:rPr>
          <w:rFonts w:ascii="仿宋" w:eastAsia="仿宋" w:hAnsi="仿宋" w:hint="eastAsia"/>
          <w:sz w:val="28"/>
          <w:szCs w:val="24"/>
        </w:rPr>
        <w:t>技术要求</w:t>
      </w:r>
      <w:r w:rsidRPr="00EA68CB">
        <w:rPr>
          <w:rFonts w:ascii="仿宋" w:eastAsia="仿宋" w:hAnsi="仿宋" w:hint="eastAsia"/>
          <w:sz w:val="28"/>
          <w:szCs w:val="24"/>
        </w:rPr>
        <w:t>。为帮助各企业实现上述目标形成了本标准。</w:t>
      </w:r>
    </w:p>
    <w:p w14:paraId="1214235C" w14:textId="77777777" w:rsidR="00E319EC" w:rsidRDefault="0042231B">
      <w:pPr>
        <w:spacing w:line="600" w:lineRule="exact"/>
        <w:ind w:left="420" w:hangingChars="150" w:hanging="420"/>
        <w:rPr>
          <w:rFonts w:ascii="仿宋" w:eastAsia="仿宋" w:hAnsi="仿宋" w:cs="新宋体"/>
          <w:sz w:val="28"/>
          <w:szCs w:val="28"/>
        </w:rPr>
      </w:pPr>
      <w:r>
        <w:rPr>
          <w:rFonts w:ascii="仿宋" w:eastAsia="仿宋" w:hAnsi="仿宋" w:cs="新宋体" w:hint="eastAsia"/>
          <w:sz w:val="28"/>
          <w:szCs w:val="28"/>
        </w:rPr>
        <w:t>5、标准在起草过程中遇到的问题及解决办法：重大分歧意见的处理经过和依据：有无重要技术问题需要说明。</w:t>
      </w:r>
    </w:p>
    <w:p w14:paraId="299D3EFD" w14:textId="6B96FF58" w:rsidR="00E319EC" w:rsidRPr="0024736F" w:rsidRDefault="0024736F" w:rsidP="0024736F">
      <w:pPr>
        <w:pStyle w:val="a3"/>
        <w:ind w:left="360" w:firstLine="560"/>
        <w:rPr>
          <w:rFonts w:ascii="仿宋" w:eastAsia="仿宋" w:hAnsi="仿宋" w:hint="eastAsia"/>
          <w:sz w:val="28"/>
          <w:szCs w:val="24"/>
        </w:rPr>
      </w:pPr>
      <w:r w:rsidRPr="0024736F">
        <w:rPr>
          <w:rFonts w:ascii="仿宋" w:eastAsia="仿宋" w:hAnsi="仿宋" w:hint="eastAsia"/>
          <w:sz w:val="28"/>
          <w:szCs w:val="24"/>
        </w:rPr>
        <w:t>在本标准的修订过程中，无重大分歧意见和技术问题。</w:t>
      </w:r>
    </w:p>
    <w:p w14:paraId="10863D17" w14:textId="77777777" w:rsidR="00E319EC" w:rsidRDefault="0042231B">
      <w:pPr>
        <w:spacing w:line="600" w:lineRule="exact"/>
        <w:ind w:left="420" w:hangingChars="150" w:hanging="420"/>
        <w:rPr>
          <w:rFonts w:ascii="仿宋" w:eastAsia="仿宋" w:hAnsi="仿宋" w:cs="新宋体"/>
          <w:sz w:val="28"/>
          <w:szCs w:val="28"/>
        </w:rPr>
      </w:pPr>
      <w:r>
        <w:rPr>
          <w:rFonts w:ascii="仿宋" w:eastAsia="仿宋" w:hAnsi="仿宋" w:cs="新宋体" w:hint="eastAsia"/>
          <w:sz w:val="28"/>
          <w:szCs w:val="28"/>
        </w:rPr>
        <w:t>6、与国外标准的关系：包括：采用国际标准和国外先进标准的程度，与国外标准主要技术内容的差异（可引用标准前言的内容）：</w:t>
      </w:r>
    </w:p>
    <w:p w14:paraId="08E25248" w14:textId="0614129E" w:rsidR="00E319EC" w:rsidRPr="00B048D5" w:rsidRDefault="0024736F" w:rsidP="00B048D5">
      <w:pPr>
        <w:pStyle w:val="a3"/>
        <w:spacing w:line="600" w:lineRule="exact"/>
        <w:ind w:firstLine="560"/>
        <w:rPr>
          <w:rFonts w:ascii="仿宋" w:eastAsia="仿宋" w:hAnsi="仿宋" w:cs="新宋体"/>
          <w:kern w:val="2"/>
          <w:sz w:val="28"/>
          <w:szCs w:val="28"/>
        </w:rPr>
      </w:pPr>
      <w:r w:rsidRPr="00B048D5">
        <w:rPr>
          <w:rFonts w:ascii="仿宋" w:eastAsia="仿宋" w:hAnsi="仿宋" w:cs="新宋体" w:hint="eastAsia"/>
          <w:kern w:val="2"/>
          <w:sz w:val="28"/>
          <w:szCs w:val="28"/>
        </w:rPr>
        <w:t>该项目没有完全对应的国际标准或国外先进标准。</w:t>
      </w:r>
    </w:p>
    <w:p w14:paraId="6D7B4D19" w14:textId="77777777" w:rsidR="00E319EC" w:rsidRDefault="0042231B">
      <w:pPr>
        <w:spacing w:line="600" w:lineRule="exact"/>
        <w:ind w:left="420" w:hangingChars="150" w:hanging="420"/>
        <w:rPr>
          <w:rFonts w:ascii="仿宋" w:eastAsia="仿宋" w:hAnsi="仿宋" w:cs="新宋体"/>
          <w:sz w:val="28"/>
          <w:szCs w:val="28"/>
        </w:rPr>
      </w:pPr>
      <w:r>
        <w:rPr>
          <w:rFonts w:ascii="仿宋" w:eastAsia="仿宋" w:hAnsi="仿宋" w:cs="新宋体" w:hint="eastAsia"/>
          <w:sz w:val="28"/>
          <w:szCs w:val="28"/>
        </w:rPr>
        <w:t>7、修订标准时，说明与标准前一版本的重大技术变化，并列出所涉及的新、旧版本的有关章条（可引用标准前言的内容）：废止/代替现行有关标准的建议：</w:t>
      </w:r>
    </w:p>
    <w:p w14:paraId="2E49BA16" w14:textId="4ADB4B7D" w:rsidR="00E319EC" w:rsidRPr="0024736F" w:rsidRDefault="0024736F" w:rsidP="0024736F">
      <w:pPr>
        <w:pStyle w:val="a3"/>
        <w:spacing w:line="600" w:lineRule="exact"/>
        <w:ind w:firstLine="560"/>
        <w:rPr>
          <w:rFonts w:ascii="仿宋" w:eastAsia="仿宋" w:hAnsi="仿宋" w:cs="新宋体" w:hint="eastAsia"/>
          <w:kern w:val="2"/>
          <w:sz w:val="28"/>
          <w:szCs w:val="28"/>
        </w:rPr>
      </w:pPr>
      <w:r w:rsidRPr="0024736F">
        <w:rPr>
          <w:rFonts w:ascii="仿宋" w:eastAsia="仿宋" w:hAnsi="仿宋" w:cs="新宋体" w:hint="eastAsia"/>
          <w:kern w:val="2"/>
          <w:sz w:val="28"/>
          <w:szCs w:val="28"/>
        </w:rPr>
        <w:t>本标准为制定标准，非修订标准。</w:t>
      </w:r>
    </w:p>
    <w:p w14:paraId="5D749729" w14:textId="77777777" w:rsidR="00E319EC" w:rsidRDefault="0042231B">
      <w:pPr>
        <w:spacing w:line="600" w:lineRule="exact"/>
        <w:ind w:left="420" w:hangingChars="150" w:hanging="420"/>
        <w:rPr>
          <w:rFonts w:ascii="仿宋" w:eastAsia="仿宋" w:hAnsi="仿宋" w:cs="新宋体"/>
          <w:sz w:val="28"/>
          <w:szCs w:val="28"/>
        </w:rPr>
      </w:pPr>
      <w:r>
        <w:rPr>
          <w:rFonts w:ascii="仿宋" w:eastAsia="仿宋" w:hAnsi="仿宋" w:cs="新宋体" w:hint="eastAsia"/>
          <w:sz w:val="28"/>
          <w:szCs w:val="28"/>
        </w:rPr>
        <w:t>8、说明标准与其他标准或文件的关系（可引用标准前言的内容），特别是与有关的现行法律、法规和强制性国家标准的关系：</w:t>
      </w:r>
    </w:p>
    <w:p w14:paraId="5CD7F06F" w14:textId="06756CBE" w:rsidR="00E319EC" w:rsidRDefault="0024736F">
      <w:pPr>
        <w:pStyle w:val="a3"/>
        <w:spacing w:line="600" w:lineRule="exact"/>
        <w:ind w:firstLine="560"/>
        <w:rPr>
          <w:rFonts w:ascii="仿宋" w:eastAsia="仿宋" w:hAnsi="仿宋" w:cs="新宋体" w:hint="eastAsia"/>
          <w:kern w:val="2"/>
          <w:sz w:val="28"/>
          <w:szCs w:val="28"/>
        </w:rPr>
      </w:pPr>
      <w:r>
        <w:rPr>
          <w:rFonts w:ascii="仿宋" w:eastAsia="仿宋" w:hAnsi="仿宋" w:cs="新宋体" w:hint="eastAsia"/>
          <w:kern w:val="2"/>
          <w:sz w:val="28"/>
          <w:szCs w:val="28"/>
        </w:rPr>
        <w:lastRenderedPageBreak/>
        <w:t>目前，与其他标准文件没有直接关系。</w:t>
      </w:r>
    </w:p>
    <w:p w14:paraId="632FCBC8" w14:textId="77777777" w:rsidR="00E319EC" w:rsidRDefault="0042231B">
      <w:pPr>
        <w:autoSpaceDE w:val="0"/>
        <w:autoSpaceDN w:val="0"/>
        <w:spacing w:line="600" w:lineRule="exact"/>
        <w:textAlignment w:val="bottom"/>
        <w:rPr>
          <w:rFonts w:ascii="仿宋" w:eastAsia="仿宋" w:hAnsi="仿宋" w:cs="新宋体"/>
          <w:sz w:val="28"/>
          <w:szCs w:val="28"/>
        </w:rPr>
      </w:pPr>
      <w:r>
        <w:rPr>
          <w:rFonts w:ascii="仿宋" w:eastAsia="仿宋" w:hAnsi="仿宋" w:cs="新宋体" w:hint="eastAsia"/>
          <w:sz w:val="28"/>
          <w:szCs w:val="28"/>
        </w:rPr>
        <w:t>9、标准作为强制性标准或推荐性标准的建议：</w:t>
      </w:r>
    </w:p>
    <w:p w14:paraId="3BA9A25B" w14:textId="00C2F231" w:rsidR="00E319EC" w:rsidRPr="0024736F" w:rsidRDefault="0024736F" w:rsidP="0024736F">
      <w:pPr>
        <w:pStyle w:val="a3"/>
        <w:spacing w:line="600" w:lineRule="exact"/>
        <w:ind w:firstLine="560"/>
        <w:rPr>
          <w:rFonts w:ascii="仿宋" w:eastAsia="仿宋" w:hAnsi="仿宋" w:cs="新宋体" w:hint="eastAsia"/>
          <w:kern w:val="2"/>
          <w:sz w:val="28"/>
          <w:szCs w:val="28"/>
        </w:rPr>
      </w:pPr>
      <w:r w:rsidRPr="0024736F">
        <w:rPr>
          <w:rFonts w:ascii="仿宋" w:eastAsia="仿宋" w:hAnsi="仿宋" w:cs="新宋体" w:hint="eastAsia"/>
          <w:kern w:val="2"/>
          <w:sz w:val="28"/>
          <w:szCs w:val="28"/>
        </w:rPr>
        <w:t>建议本标准作为推荐性标准。</w:t>
      </w:r>
    </w:p>
    <w:p w14:paraId="75C649B5" w14:textId="77777777" w:rsidR="00E319EC" w:rsidRDefault="0042231B">
      <w:pPr>
        <w:autoSpaceDE w:val="0"/>
        <w:autoSpaceDN w:val="0"/>
        <w:spacing w:line="600" w:lineRule="exact"/>
        <w:ind w:left="560" w:hangingChars="200" w:hanging="560"/>
        <w:textAlignment w:val="bottom"/>
        <w:rPr>
          <w:rFonts w:ascii="仿宋" w:eastAsia="仿宋" w:hAnsi="仿宋" w:cs="新宋体"/>
          <w:sz w:val="28"/>
          <w:szCs w:val="28"/>
        </w:rPr>
      </w:pPr>
      <w:r>
        <w:rPr>
          <w:rFonts w:ascii="仿宋" w:eastAsia="仿宋" w:hAnsi="仿宋" w:cs="新宋体" w:hint="eastAsia"/>
          <w:sz w:val="28"/>
          <w:szCs w:val="28"/>
        </w:rPr>
        <w:t>10、贯彻国家标准的要求和措施建议（包括组织措施、技术措施、过渡办法等内容）：标准发布后，对国内外业界可能产生的影响。</w:t>
      </w:r>
    </w:p>
    <w:p w14:paraId="53069DFD" w14:textId="65015FBE" w:rsidR="00E319EC" w:rsidRPr="0024736F" w:rsidRDefault="0024736F" w:rsidP="0024736F">
      <w:pPr>
        <w:pStyle w:val="a3"/>
        <w:spacing w:line="600" w:lineRule="exact"/>
        <w:ind w:firstLine="560"/>
        <w:rPr>
          <w:rFonts w:ascii="仿宋" w:eastAsia="仿宋" w:hAnsi="仿宋" w:cs="新宋体" w:hint="eastAsia"/>
          <w:kern w:val="2"/>
          <w:sz w:val="28"/>
          <w:szCs w:val="28"/>
        </w:rPr>
      </w:pPr>
      <w:r w:rsidRPr="0024736F">
        <w:rPr>
          <w:rFonts w:ascii="仿宋" w:eastAsia="仿宋" w:hAnsi="仿宋" w:cs="新宋体" w:hint="eastAsia"/>
          <w:kern w:val="2"/>
          <w:sz w:val="28"/>
          <w:szCs w:val="28"/>
        </w:rPr>
        <w:t>建议本标准作为推荐性标准发布实施，指导软件开发相关企业解决方案的研发、测试、评估和验收等环节，同时规范行业向更加规范、健康、有序地发展。</w:t>
      </w:r>
    </w:p>
    <w:p w14:paraId="3FE7C8DA" w14:textId="77777777" w:rsidR="00E319EC" w:rsidRDefault="0042231B">
      <w:pPr>
        <w:autoSpaceDE w:val="0"/>
        <w:autoSpaceDN w:val="0"/>
        <w:spacing w:beforeLines="50" w:before="156" w:line="600" w:lineRule="exact"/>
        <w:ind w:left="560" w:hangingChars="200" w:hanging="560"/>
        <w:textAlignment w:val="bottom"/>
        <w:rPr>
          <w:rFonts w:ascii="仿宋" w:eastAsia="仿宋" w:hAnsi="仿宋" w:cs="新宋体"/>
          <w:sz w:val="28"/>
          <w:szCs w:val="28"/>
        </w:rPr>
      </w:pPr>
      <w:r>
        <w:rPr>
          <w:rFonts w:ascii="仿宋" w:eastAsia="仿宋" w:hAnsi="仿宋" w:cs="新宋体" w:hint="eastAsia"/>
          <w:sz w:val="28"/>
          <w:szCs w:val="28"/>
        </w:rPr>
        <w:t>11、标准是否涉及知识产权的情况说明；如标准中含有自主知识产权，说明产品研发程度、产业化基础及进程。</w:t>
      </w:r>
    </w:p>
    <w:p w14:paraId="3A113A26" w14:textId="2D20F91C" w:rsidR="00E319EC" w:rsidRPr="0024736F" w:rsidRDefault="0024736F" w:rsidP="0024736F">
      <w:pPr>
        <w:pStyle w:val="a3"/>
        <w:spacing w:line="600" w:lineRule="exact"/>
        <w:ind w:firstLine="560"/>
        <w:rPr>
          <w:rFonts w:ascii="仿宋" w:eastAsia="仿宋" w:hAnsi="仿宋" w:cs="新宋体" w:hint="eastAsia"/>
          <w:kern w:val="2"/>
          <w:sz w:val="28"/>
          <w:szCs w:val="28"/>
        </w:rPr>
      </w:pPr>
      <w:r w:rsidRPr="0024736F">
        <w:rPr>
          <w:rFonts w:ascii="仿宋" w:eastAsia="仿宋" w:hAnsi="仿宋" w:cs="新宋体" w:hint="eastAsia"/>
          <w:kern w:val="2"/>
          <w:sz w:val="28"/>
          <w:szCs w:val="28"/>
        </w:rPr>
        <w:t>本标准未涉及。</w:t>
      </w:r>
    </w:p>
    <w:p w14:paraId="4469F0CE" w14:textId="03033550" w:rsidR="00E319EC" w:rsidRPr="0024736F" w:rsidRDefault="0042231B" w:rsidP="0024736F">
      <w:pPr>
        <w:autoSpaceDE w:val="0"/>
        <w:autoSpaceDN w:val="0"/>
        <w:spacing w:beforeLines="50" w:before="156" w:line="600" w:lineRule="exact"/>
        <w:textAlignment w:val="bottom"/>
        <w:rPr>
          <w:rFonts w:ascii="仿宋" w:eastAsia="仿宋" w:hAnsi="仿宋" w:cs="新宋体" w:hint="eastAsia"/>
          <w:sz w:val="28"/>
          <w:szCs w:val="28"/>
        </w:rPr>
      </w:pPr>
      <w:r>
        <w:rPr>
          <w:rFonts w:ascii="仿宋" w:eastAsia="仿宋" w:hAnsi="仿宋" w:cs="新宋体" w:hint="eastAsia"/>
          <w:sz w:val="28"/>
          <w:szCs w:val="28"/>
        </w:rPr>
        <w:t>12、其他应予说明的事项。</w:t>
      </w:r>
    </w:p>
    <w:p w14:paraId="426345BA" w14:textId="77777777" w:rsidR="0024736F" w:rsidRPr="0024736F" w:rsidRDefault="0024736F" w:rsidP="0024736F">
      <w:pPr>
        <w:pStyle w:val="a3"/>
        <w:spacing w:line="600" w:lineRule="exact"/>
        <w:ind w:firstLine="560"/>
        <w:rPr>
          <w:rFonts w:ascii="仿宋" w:eastAsia="仿宋" w:hAnsi="仿宋" w:cs="新宋体"/>
          <w:kern w:val="2"/>
          <w:sz w:val="28"/>
          <w:szCs w:val="28"/>
        </w:rPr>
      </w:pPr>
      <w:r w:rsidRPr="0024736F">
        <w:rPr>
          <w:rFonts w:ascii="仿宋" w:eastAsia="仿宋" w:hAnsi="仿宋" w:cs="新宋体" w:hint="eastAsia"/>
          <w:kern w:val="2"/>
          <w:sz w:val="28"/>
          <w:szCs w:val="28"/>
        </w:rPr>
        <w:t>本标准未涉及。</w:t>
      </w:r>
    </w:p>
    <w:p w14:paraId="2F47F843" w14:textId="77777777" w:rsidR="00E319EC" w:rsidRDefault="00E319EC">
      <w:pPr>
        <w:widowControl/>
        <w:jc w:val="left"/>
      </w:pPr>
    </w:p>
    <w:sectPr w:rsidR="00E31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D68E" w14:textId="77777777" w:rsidR="00672A70" w:rsidRDefault="00672A70" w:rsidP="00316BC2">
      <w:r>
        <w:separator/>
      </w:r>
    </w:p>
  </w:endnote>
  <w:endnote w:type="continuationSeparator" w:id="0">
    <w:p w14:paraId="1EF18DC3" w14:textId="77777777" w:rsidR="00672A70" w:rsidRDefault="00672A70" w:rsidP="0031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51F9" w14:textId="77777777" w:rsidR="00672A70" w:rsidRDefault="00672A70" w:rsidP="00316BC2">
      <w:r>
        <w:separator/>
      </w:r>
    </w:p>
  </w:footnote>
  <w:footnote w:type="continuationSeparator" w:id="0">
    <w:p w14:paraId="0A7DF65D" w14:textId="77777777" w:rsidR="00672A70" w:rsidRDefault="00672A70" w:rsidP="0031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C13E5"/>
    <w:multiLevelType w:val="multilevel"/>
    <w:tmpl w:val="523C13E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245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CC5294"/>
    <w:rsid w:val="0024736F"/>
    <w:rsid w:val="00316BC2"/>
    <w:rsid w:val="0042231B"/>
    <w:rsid w:val="005D7C68"/>
    <w:rsid w:val="00654CDC"/>
    <w:rsid w:val="00672A70"/>
    <w:rsid w:val="00835235"/>
    <w:rsid w:val="00B048D5"/>
    <w:rsid w:val="00E319EC"/>
    <w:rsid w:val="00EA68CB"/>
    <w:rsid w:val="71CC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AFEF7"/>
  <w15:docId w15:val="{DD716CA0-32F0-4B3B-8CB9-0B925FC0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ind w:firstLine="420"/>
    </w:pPr>
  </w:style>
  <w:style w:type="paragraph" w:customStyle="1" w:styleId="BodyTextIndent">
    <w:name w:val="BodyTextIndent"/>
    <w:basedOn w:val="a"/>
    <w:qFormat/>
    <w:pPr>
      <w:spacing w:after="120"/>
      <w:ind w:leftChars="200" w:left="420"/>
    </w:pPr>
  </w:style>
  <w:style w:type="paragraph" w:customStyle="1" w:styleId="a3">
    <w:name w:val="段"/>
    <w:link w:val="Char"/>
    <w:qFormat/>
    <w:pPr>
      <w:autoSpaceDE w:val="0"/>
      <w:autoSpaceDN w:val="0"/>
      <w:ind w:firstLineChars="200" w:firstLine="200"/>
      <w:jc w:val="both"/>
    </w:pPr>
    <w:rPr>
      <w:rFonts w:ascii="宋体"/>
      <w:sz w:val="21"/>
    </w:rPr>
  </w:style>
  <w:style w:type="character" w:customStyle="1" w:styleId="Char">
    <w:name w:val="段 Char"/>
    <w:basedOn w:val="a0"/>
    <w:link w:val="a3"/>
    <w:qFormat/>
    <w:rsid w:val="00835235"/>
    <w:rPr>
      <w:rFonts w:ascii="宋体"/>
      <w:sz w:val="21"/>
    </w:rPr>
  </w:style>
  <w:style w:type="paragraph" w:styleId="a4">
    <w:name w:val="header"/>
    <w:basedOn w:val="a"/>
    <w:link w:val="a5"/>
    <w:rsid w:val="00316B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16BC2"/>
    <w:rPr>
      <w:rFonts w:asciiTheme="minorHAnsi" w:eastAsiaTheme="minorEastAsia" w:hAnsiTheme="minorHAnsi" w:cstheme="minorBidi"/>
      <w:kern w:val="2"/>
      <w:sz w:val="18"/>
      <w:szCs w:val="18"/>
    </w:rPr>
  </w:style>
  <w:style w:type="paragraph" w:styleId="a6">
    <w:name w:val="footer"/>
    <w:basedOn w:val="a"/>
    <w:link w:val="a7"/>
    <w:rsid w:val="00316BC2"/>
    <w:pPr>
      <w:tabs>
        <w:tab w:val="center" w:pos="4153"/>
        <w:tab w:val="right" w:pos="8306"/>
      </w:tabs>
      <w:snapToGrid w:val="0"/>
      <w:jc w:val="left"/>
    </w:pPr>
    <w:rPr>
      <w:sz w:val="18"/>
      <w:szCs w:val="18"/>
    </w:rPr>
  </w:style>
  <w:style w:type="character" w:customStyle="1" w:styleId="a7">
    <w:name w:val="页脚 字符"/>
    <w:basedOn w:val="a0"/>
    <w:link w:val="a6"/>
    <w:rsid w:val="00316BC2"/>
    <w:rPr>
      <w:rFonts w:asciiTheme="minorHAnsi" w:eastAsiaTheme="minorEastAsia" w:hAnsiTheme="minorHAnsi" w:cstheme="minorBidi"/>
      <w:kern w:val="2"/>
      <w:sz w:val="18"/>
      <w:szCs w:val="18"/>
    </w:rPr>
  </w:style>
  <w:style w:type="paragraph" w:styleId="a8">
    <w:name w:val="annotation text"/>
    <w:basedOn w:val="a"/>
    <w:link w:val="a9"/>
    <w:uiPriority w:val="99"/>
    <w:unhideWhenUsed/>
    <w:rsid w:val="0024736F"/>
    <w:pPr>
      <w:jc w:val="left"/>
    </w:pPr>
  </w:style>
  <w:style w:type="character" w:customStyle="1" w:styleId="a9">
    <w:name w:val="批注文字 字符"/>
    <w:basedOn w:val="a0"/>
    <w:link w:val="a8"/>
    <w:uiPriority w:val="99"/>
    <w:rsid w:val="0024736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0">
      <w:bodyDiv w:val="1"/>
      <w:marLeft w:val="0"/>
      <w:marRight w:val="0"/>
      <w:marTop w:val="0"/>
      <w:marBottom w:val="0"/>
      <w:divBdr>
        <w:top w:val="none" w:sz="0" w:space="0" w:color="auto"/>
        <w:left w:val="none" w:sz="0" w:space="0" w:color="auto"/>
        <w:bottom w:val="none" w:sz="0" w:space="0" w:color="auto"/>
        <w:right w:val="none" w:sz="0" w:space="0" w:color="auto"/>
      </w:divBdr>
    </w:div>
    <w:div w:id="158542888">
      <w:bodyDiv w:val="1"/>
      <w:marLeft w:val="0"/>
      <w:marRight w:val="0"/>
      <w:marTop w:val="0"/>
      <w:marBottom w:val="0"/>
      <w:divBdr>
        <w:top w:val="none" w:sz="0" w:space="0" w:color="auto"/>
        <w:left w:val="none" w:sz="0" w:space="0" w:color="auto"/>
        <w:bottom w:val="none" w:sz="0" w:space="0" w:color="auto"/>
        <w:right w:val="none" w:sz="0" w:space="0" w:color="auto"/>
      </w:divBdr>
    </w:div>
    <w:div w:id="330451557">
      <w:bodyDiv w:val="1"/>
      <w:marLeft w:val="0"/>
      <w:marRight w:val="0"/>
      <w:marTop w:val="0"/>
      <w:marBottom w:val="0"/>
      <w:divBdr>
        <w:top w:val="none" w:sz="0" w:space="0" w:color="auto"/>
        <w:left w:val="none" w:sz="0" w:space="0" w:color="auto"/>
        <w:bottom w:val="none" w:sz="0" w:space="0" w:color="auto"/>
        <w:right w:val="none" w:sz="0" w:space="0" w:color="auto"/>
      </w:divBdr>
    </w:div>
    <w:div w:id="462188281">
      <w:bodyDiv w:val="1"/>
      <w:marLeft w:val="0"/>
      <w:marRight w:val="0"/>
      <w:marTop w:val="0"/>
      <w:marBottom w:val="0"/>
      <w:divBdr>
        <w:top w:val="none" w:sz="0" w:space="0" w:color="auto"/>
        <w:left w:val="none" w:sz="0" w:space="0" w:color="auto"/>
        <w:bottom w:val="none" w:sz="0" w:space="0" w:color="auto"/>
        <w:right w:val="none" w:sz="0" w:space="0" w:color="auto"/>
      </w:divBdr>
    </w:div>
    <w:div w:id="520634394">
      <w:bodyDiv w:val="1"/>
      <w:marLeft w:val="0"/>
      <w:marRight w:val="0"/>
      <w:marTop w:val="0"/>
      <w:marBottom w:val="0"/>
      <w:divBdr>
        <w:top w:val="none" w:sz="0" w:space="0" w:color="auto"/>
        <w:left w:val="none" w:sz="0" w:space="0" w:color="auto"/>
        <w:bottom w:val="none" w:sz="0" w:space="0" w:color="auto"/>
        <w:right w:val="none" w:sz="0" w:space="0" w:color="auto"/>
      </w:divBdr>
    </w:div>
    <w:div w:id="1035347355">
      <w:bodyDiv w:val="1"/>
      <w:marLeft w:val="0"/>
      <w:marRight w:val="0"/>
      <w:marTop w:val="0"/>
      <w:marBottom w:val="0"/>
      <w:divBdr>
        <w:top w:val="none" w:sz="0" w:space="0" w:color="auto"/>
        <w:left w:val="none" w:sz="0" w:space="0" w:color="auto"/>
        <w:bottom w:val="none" w:sz="0" w:space="0" w:color="auto"/>
        <w:right w:val="none" w:sz="0" w:space="0" w:color="auto"/>
      </w:divBdr>
    </w:div>
    <w:div w:id="1130129560">
      <w:bodyDiv w:val="1"/>
      <w:marLeft w:val="0"/>
      <w:marRight w:val="0"/>
      <w:marTop w:val="0"/>
      <w:marBottom w:val="0"/>
      <w:divBdr>
        <w:top w:val="none" w:sz="0" w:space="0" w:color="auto"/>
        <w:left w:val="none" w:sz="0" w:space="0" w:color="auto"/>
        <w:bottom w:val="none" w:sz="0" w:space="0" w:color="auto"/>
        <w:right w:val="none" w:sz="0" w:space="0" w:color="auto"/>
      </w:divBdr>
    </w:div>
    <w:div w:id="1204293668">
      <w:bodyDiv w:val="1"/>
      <w:marLeft w:val="0"/>
      <w:marRight w:val="0"/>
      <w:marTop w:val="0"/>
      <w:marBottom w:val="0"/>
      <w:divBdr>
        <w:top w:val="none" w:sz="0" w:space="0" w:color="auto"/>
        <w:left w:val="none" w:sz="0" w:space="0" w:color="auto"/>
        <w:bottom w:val="none" w:sz="0" w:space="0" w:color="auto"/>
        <w:right w:val="none" w:sz="0" w:space="0" w:color="auto"/>
      </w:divBdr>
    </w:div>
    <w:div w:id="1336768760">
      <w:bodyDiv w:val="1"/>
      <w:marLeft w:val="0"/>
      <w:marRight w:val="0"/>
      <w:marTop w:val="0"/>
      <w:marBottom w:val="0"/>
      <w:divBdr>
        <w:top w:val="none" w:sz="0" w:space="0" w:color="auto"/>
        <w:left w:val="none" w:sz="0" w:space="0" w:color="auto"/>
        <w:bottom w:val="none" w:sz="0" w:space="0" w:color="auto"/>
        <w:right w:val="none" w:sz="0" w:space="0" w:color="auto"/>
      </w:divBdr>
    </w:div>
    <w:div w:id="1637836237">
      <w:bodyDiv w:val="1"/>
      <w:marLeft w:val="0"/>
      <w:marRight w:val="0"/>
      <w:marTop w:val="0"/>
      <w:marBottom w:val="0"/>
      <w:divBdr>
        <w:top w:val="none" w:sz="0" w:space="0" w:color="auto"/>
        <w:left w:val="none" w:sz="0" w:space="0" w:color="auto"/>
        <w:bottom w:val="none" w:sz="0" w:space="0" w:color="auto"/>
        <w:right w:val="none" w:sz="0" w:space="0" w:color="auto"/>
      </w:divBdr>
    </w:div>
    <w:div w:id="1673144774">
      <w:bodyDiv w:val="1"/>
      <w:marLeft w:val="0"/>
      <w:marRight w:val="0"/>
      <w:marTop w:val="0"/>
      <w:marBottom w:val="0"/>
      <w:divBdr>
        <w:top w:val="none" w:sz="0" w:space="0" w:color="auto"/>
        <w:left w:val="none" w:sz="0" w:space="0" w:color="auto"/>
        <w:bottom w:val="none" w:sz="0" w:space="0" w:color="auto"/>
        <w:right w:val="none" w:sz="0" w:space="0" w:color="auto"/>
      </w:divBdr>
    </w:div>
    <w:div w:id="1740201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4nxIrdetAQ13I3WqvwTNk9Vp_XMWSRYrHEw3evk6zEauR47oozQXzjqvk1aNu1QbgMIr09yvOgbdLRTCKHsmF4N77OKcyCMC31j92qnLJi0QkKzZNv2DQ0c-9KSj_z9NhkyVQytpiyD9anlbna6wGRvAI_uBce0kunrHtSxgw5knGBLsN-pMiwgx0JyqKP2EFU62KFXVcR8Alr7sVUcXX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idu.com/link?url=QzuM5e8I7dw90mWu1NAB_HYv9eVik9TAnaLmOzJPFkelo0seqF67HA9CPi2ziNxxbCaD0i9HNO3NX7jkTQBMSY5hwqGYEqywsHHHoX-Sv24gtn-3Wk-VLpcVwEtouA20SCcqdKD9B23jnXCpYUnlS5RNDcYtH3bpr6RuP4PgGMAdjsQKhM102Wxo7g7sSnv-cXpBxBrEP61DapI7cytUvq" TargetMode="External"/><Relationship Id="rId4" Type="http://schemas.openxmlformats.org/officeDocument/2006/relationships/settings" Target="settings.xml"/><Relationship Id="rId9" Type="http://schemas.openxmlformats.org/officeDocument/2006/relationships/hyperlink" Target="http://www.baidu.com/link?url=JtU4cdSiSR2fYRbpltcbmznlNPYuS6xrRTiksFULLG4EFaJgv24-dULG2BTRZR67Y6iTrgJFz3fN9neeRmFD-4y7ndzEGubWhKLLuLtSv30hSBmiuItST328EcaF6DVptgDwqWXlgm_wp2tU3pXZIBfXUTHqGcn5Me2COpi3abZgvkITu7nT98ENHnb6K0kM1yHm19RmDgM9vamCbFQ4DX2zTr_pbCP-5w8l7w0BWK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3060</TotalTime>
  <Pages>4</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wang xiao</cp:lastModifiedBy>
  <cp:revision>6</cp:revision>
  <dcterms:created xsi:type="dcterms:W3CDTF">2021-01-12T03:23:00Z</dcterms:created>
  <dcterms:modified xsi:type="dcterms:W3CDTF">2022-05-01T10:56:00Z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