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300" w:beforeAutospacing="0" w:after="300" w:afterAutospacing="0" w:line="500" w:lineRule="exact"/>
        <w:rPr>
          <w:rFonts w:ascii="宋体" w:hAnsi="宋体" w:cs="宋体"/>
          <w:b/>
          <w:bCs/>
          <w:color w:val="000000"/>
          <w:sz w:val="36"/>
          <w:szCs w:val="36"/>
          <w:shd w:val="clear" w:color="auto" w:fill="FFFFFF"/>
        </w:rPr>
      </w:pPr>
      <w:r>
        <w:rPr>
          <w:rFonts w:hint="eastAsia" w:ascii="宋体" w:hAnsi="宋体" w:cs="宋体"/>
          <w:b/>
          <w:bCs/>
          <w:color w:val="000000"/>
          <w:sz w:val="36"/>
          <w:szCs w:val="36"/>
          <w:shd w:val="clear" w:color="auto" w:fill="FFFFFF"/>
        </w:rPr>
        <w:t>附件：</w:t>
      </w:r>
    </w:p>
    <w:p>
      <w:pPr>
        <w:pStyle w:val="6"/>
        <w:widowControl/>
        <w:shd w:val="clear" w:color="auto" w:fill="FFFFFF"/>
        <w:spacing w:before="300" w:beforeAutospacing="0" w:after="300" w:afterAutospacing="0" w:line="500" w:lineRule="exact"/>
        <w:jc w:val="center"/>
        <w:rPr>
          <w:rFonts w:hint="eastAsia" w:ascii="宋体" w:hAnsi="宋体" w:cs="宋体"/>
          <w:b/>
          <w:bCs/>
          <w:color w:val="000000"/>
          <w:sz w:val="36"/>
          <w:szCs w:val="36"/>
          <w:shd w:val="clear" w:color="auto" w:fill="FFFFFF"/>
        </w:rPr>
      </w:pPr>
      <w:bookmarkStart w:id="0" w:name="_GoBack"/>
      <w:r>
        <w:rPr>
          <w:rFonts w:hint="eastAsia" w:ascii="宋体" w:hAnsi="宋体" w:eastAsia="宋体" w:cs="宋体"/>
          <w:b/>
          <w:bCs/>
          <w:i w:val="0"/>
          <w:iCs w:val="0"/>
          <w:caps w:val="0"/>
          <w:color w:val="282828"/>
          <w:spacing w:val="0"/>
          <w:sz w:val="36"/>
          <w:szCs w:val="36"/>
        </w:rPr>
        <w:t>《跨境数据流通和交易风险评估技术通则》</w:t>
      </w:r>
      <w:r>
        <w:rPr>
          <w:rFonts w:hint="eastAsia" w:ascii="宋体" w:hAnsi="宋体" w:cs="宋体"/>
          <w:b/>
          <w:bCs/>
          <w:i w:val="0"/>
          <w:iCs w:val="0"/>
          <w:caps w:val="0"/>
          <w:color w:val="282828"/>
          <w:spacing w:val="0"/>
          <w:sz w:val="36"/>
          <w:szCs w:val="36"/>
          <w:lang w:val="en-US" w:eastAsia="zh-CN"/>
        </w:rPr>
        <w:t>等6项</w:t>
      </w:r>
      <w:r>
        <w:rPr>
          <w:rFonts w:hint="eastAsia" w:ascii="宋体" w:hAnsi="宋体" w:cs="宋体"/>
          <w:b/>
          <w:bCs/>
          <w:color w:val="000000"/>
          <w:sz w:val="36"/>
          <w:szCs w:val="36"/>
          <w:shd w:val="clear" w:color="auto" w:fill="FFFFFF"/>
        </w:rPr>
        <w:t>团体标准项目计划表</w:t>
      </w:r>
    </w:p>
    <w:bookmarkEnd w:id="0"/>
    <w:tbl>
      <w:tblPr>
        <w:tblStyle w:val="8"/>
        <w:tblpPr w:leftFromText="180" w:rightFromText="180" w:vertAnchor="text" w:horzAnchor="page" w:tblpX="1380" w:tblpY="36"/>
        <w:tblOverlap w:val="never"/>
        <w:tblW w:w="14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2549"/>
        <w:gridCol w:w="1350"/>
        <w:gridCol w:w="6001"/>
        <w:gridCol w:w="2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exact"/>
        </w:trPr>
        <w:tc>
          <w:tcPr>
            <w:tcW w:w="2111" w:type="dxa"/>
            <w:vAlign w:val="center"/>
          </w:tcPr>
          <w:p>
            <w:pPr>
              <w:pStyle w:val="6"/>
              <w:widowControl/>
              <w:spacing w:before="300" w:beforeAutospacing="0" w:after="300" w:afterAutospacing="0" w:line="240" w:lineRule="exact"/>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项目计划号</w:t>
            </w:r>
          </w:p>
        </w:tc>
        <w:tc>
          <w:tcPr>
            <w:tcW w:w="2549" w:type="dxa"/>
            <w:vAlign w:val="center"/>
          </w:tcPr>
          <w:p>
            <w:pPr>
              <w:pStyle w:val="6"/>
              <w:widowControl/>
              <w:spacing w:before="300" w:beforeAutospacing="0" w:after="300" w:afterAutospacing="0" w:line="240" w:lineRule="exact"/>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项目名称</w:t>
            </w:r>
          </w:p>
        </w:tc>
        <w:tc>
          <w:tcPr>
            <w:tcW w:w="1350" w:type="dxa"/>
            <w:vAlign w:val="center"/>
          </w:tcPr>
          <w:p>
            <w:pPr>
              <w:pStyle w:val="6"/>
              <w:keepNext w:val="0"/>
              <w:keepLines w:val="0"/>
              <w:pageBreakBefore w:val="0"/>
              <w:widowControl/>
              <w:kinsoku/>
              <w:wordWrap/>
              <w:overflowPunct/>
              <w:topLinePunct w:val="0"/>
              <w:autoSpaceDE/>
              <w:autoSpaceDN/>
              <w:bidi w:val="0"/>
              <w:adjustRightInd/>
              <w:snapToGrid/>
              <w:spacing w:before="300" w:beforeAutospacing="0" w:after="300" w:afterAutospacing="0" w:line="360" w:lineRule="exact"/>
              <w:jc w:val="center"/>
              <w:textAlignment w:val="auto"/>
              <w:rPr>
                <w:rFonts w:hint="eastAsia"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计划完成</w:t>
            </w:r>
          </w:p>
          <w:p>
            <w:pPr>
              <w:pStyle w:val="6"/>
              <w:keepNext w:val="0"/>
              <w:keepLines w:val="0"/>
              <w:pageBreakBefore w:val="0"/>
              <w:widowControl/>
              <w:kinsoku/>
              <w:wordWrap/>
              <w:overflowPunct/>
              <w:topLinePunct w:val="0"/>
              <w:autoSpaceDE/>
              <w:autoSpaceDN/>
              <w:bidi w:val="0"/>
              <w:adjustRightInd/>
              <w:snapToGrid/>
              <w:spacing w:before="300" w:beforeAutospacing="0" w:after="300" w:afterAutospacing="0" w:line="360" w:lineRule="exact"/>
              <w:jc w:val="center"/>
              <w:textAlignment w:val="auto"/>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时间</w:t>
            </w:r>
          </w:p>
        </w:tc>
        <w:tc>
          <w:tcPr>
            <w:tcW w:w="6001" w:type="dxa"/>
            <w:vAlign w:val="center"/>
          </w:tcPr>
          <w:p>
            <w:pPr>
              <w:pStyle w:val="6"/>
              <w:widowControl/>
              <w:spacing w:before="300" w:beforeAutospacing="0" w:after="300" w:afterAutospacing="0" w:line="240" w:lineRule="exact"/>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主要研究内容</w:t>
            </w:r>
          </w:p>
        </w:tc>
        <w:tc>
          <w:tcPr>
            <w:tcW w:w="2577" w:type="dxa"/>
            <w:vAlign w:val="center"/>
          </w:tcPr>
          <w:p>
            <w:pPr>
              <w:pStyle w:val="6"/>
              <w:widowControl/>
              <w:spacing w:before="300" w:beforeAutospacing="0" w:after="300" w:afterAutospacing="0" w:line="240" w:lineRule="exact"/>
              <w:jc w:val="center"/>
              <w:rPr>
                <w:rFonts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6" w:hRule="exact"/>
        </w:trPr>
        <w:tc>
          <w:tcPr>
            <w:tcW w:w="2111" w:type="dxa"/>
            <w:vAlign w:val="center"/>
          </w:tcPr>
          <w:p>
            <w:pPr>
              <w:pStyle w:val="6"/>
              <w:keepNext w:val="0"/>
              <w:keepLines w:val="0"/>
              <w:pageBreakBefore w:val="0"/>
              <w:widowControl/>
              <w:kinsoku/>
              <w:wordWrap/>
              <w:overflowPunct/>
              <w:topLinePunct w:val="0"/>
              <w:bidi w:val="0"/>
              <w:adjustRightInd/>
              <w:snapToGrid/>
              <w:spacing w:before="300" w:beforeAutospacing="0" w:after="300" w:afterAutospacing="0" w:line="500" w:lineRule="exact"/>
              <w:jc w:val="center"/>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060-T/ISC-23</w:t>
            </w:r>
          </w:p>
        </w:tc>
        <w:tc>
          <w:tcPr>
            <w:tcW w:w="2549" w:type="dxa"/>
            <w:vAlign w:val="center"/>
          </w:tcPr>
          <w:p>
            <w:pPr>
              <w:pStyle w:val="6"/>
              <w:keepNext w:val="0"/>
              <w:keepLines w:val="0"/>
              <w:pageBreakBefore w:val="0"/>
              <w:widowControl/>
              <w:kinsoku/>
              <w:wordWrap/>
              <w:overflowPunct/>
              <w:topLinePunct w:val="0"/>
              <w:bidi w:val="0"/>
              <w:adjustRightInd/>
              <w:snapToGrid/>
              <w:spacing w:before="300" w:beforeAutospacing="0" w:after="300" w:afterAutospacing="0" w:line="500" w:lineRule="exact"/>
              <w:jc w:val="center"/>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《跨境数据流通和交易风险评估技术通则》</w:t>
            </w:r>
          </w:p>
        </w:tc>
        <w:tc>
          <w:tcPr>
            <w:tcW w:w="1350" w:type="dxa"/>
            <w:vAlign w:val="center"/>
          </w:tcPr>
          <w:p>
            <w:pPr>
              <w:pStyle w:val="6"/>
              <w:keepNext w:val="0"/>
              <w:keepLines w:val="0"/>
              <w:pageBreakBefore w:val="0"/>
              <w:widowControl/>
              <w:kinsoku/>
              <w:wordWrap/>
              <w:overflowPunct/>
              <w:topLinePunct w:val="0"/>
              <w:bidi w:val="0"/>
              <w:adjustRightInd/>
              <w:snapToGrid/>
              <w:spacing w:before="300" w:beforeAutospacing="0" w:after="300" w:afterAutospacing="0" w:line="500" w:lineRule="exact"/>
              <w:jc w:val="center"/>
              <w:textAlignment w:val="auto"/>
              <w:rPr>
                <w:rFonts w:hint="default"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2023.12</w:t>
            </w:r>
          </w:p>
        </w:tc>
        <w:tc>
          <w:tcPr>
            <w:tcW w:w="6001"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textAlignment w:val="auto"/>
              <w:rPr>
                <w:rFonts w:hint="eastAsia"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本标准可以用数据处理者规范自身跨境数据交易活动，也可以用于数据处理者的跨境提供活动的评估和认证工作。本标准主要研究内容:收集和分析国内外数据跨境传输法律制度要求，掌握各项制度中对数据跨境传输的详要求；调研和分析我国数据处理者对数据跨境传输方面的实际需求;研究当前常见的数据跨境传输机制、方法和技术要求，特别是对于数据处理者、数据接收者以及数据跨境传输技术要求等的具体要求。在研究上述需求和实际状况的基础上，提出对于个人处理者、信息接收者和信息跨境传输过程的具体要求。</w:t>
            </w:r>
          </w:p>
        </w:tc>
        <w:tc>
          <w:tcPr>
            <w:tcW w:w="2577" w:type="dxa"/>
            <w:vAlign w:val="center"/>
          </w:tcPr>
          <w:p>
            <w:pPr>
              <w:pStyle w:val="6"/>
              <w:keepNext w:val="0"/>
              <w:keepLines w:val="0"/>
              <w:pageBreakBefore w:val="0"/>
              <w:widowControl/>
              <w:kinsoku/>
              <w:wordWrap/>
              <w:overflowPunct/>
              <w:topLinePunct w:val="0"/>
              <w:bidi w:val="0"/>
              <w:adjustRightInd/>
              <w:snapToGrid/>
              <w:spacing w:before="300" w:beforeAutospacing="0" w:after="300" w:afterAutospacing="0" w:line="500" w:lineRule="exact"/>
              <w:jc w:val="center"/>
              <w:textAlignment w:val="auto"/>
              <w:rPr>
                <w:rFonts w:hint="default" w:ascii="仿宋" w:hAnsi="仿宋" w:eastAsia="仿宋" w:cs="仿宋"/>
                <w:color w:val="000000"/>
                <w:kern w:val="0"/>
                <w:sz w:val="28"/>
                <w:szCs w:val="28"/>
                <w:shd w:val="clear" w:color="auto" w:fill="FFFFFF"/>
                <w:lang w:val="en-US" w:eastAsia="zh-CN" w:bidi="ar-SA"/>
              </w:rPr>
            </w:pPr>
            <w:r>
              <w:rPr>
                <w:rFonts w:hint="eastAsia" w:ascii="仿宋" w:hAnsi="仿宋" w:eastAsia="仿宋" w:cs="仿宋"/>
                <w:color w:val="000000"/>
                <w:kern w:val="0"/>
                <w:sz w:val="28"/>
                <w:szCs w:val="28"/>
                <w:shd w:val="clear" w:color="auto" w:fill="FFFFFF"/>
                <w:lang w:val="en-US" w:eastAsia="zh-CN" w:bidi="ar-SA"/>
              </w:rPr>
              <w:t>奇安信科技集团股份有限公司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2" w:hRule="exact"/>
        </w:trPr>
        <w:tc>
          <w:tcPr>
            <w:tcW w:w="2111" w:type="dxa"/>
            <w:vAlign w:val="center"/>
          </w:tcPr>
          <w:p>
            <w:pPr>
              <w:pStyle w:val="6"/>
              <w:keepNext w:val="0"/>
              <w:keepLines w:val="0"/>
              <w:pageBreakBefore w:val="0"/>
              <w:widowControl/>
              <w:kinsoku/>
              <w:wordWrap/>
              <w:overflowPunct/>
              <w:topLinePunct w:val="0"/>
              <w:bidi w:val="0"/>
              <w:adjustRightInd/>
              <w:snapToGrid/>
              <w:spacing w:before="300" w:beforeAutospacing="0" w:after="300" w:afterAutospacing="0" w:line="500" w:lineRule="exact"/>
              <w:jc w:val="center"/>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061-T/ISC-23</w:t>
            </w:r>
          </w:p>
        </w:tc>
        <w:tc>
          <w:tcPr>
            <w:tcW w:w="2549"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《数据流通备份审查技术通则》</w:t>
            </w:r>
          </w:p>
        </w:tc>
        <w:tc>
          <w:tcPr>
            <w:tcW w:w="1350"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2023.12</w:t>
            </w:r>
          </w:p>
        </w:tc>
        <w:tc>
          <w:tcPr>
            <w:tcW w:w="6001"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本标准的适用于多方数据交易实施过程中的数据流通备份审查系统/平台/工具的设计、开发、运行和维护。主要内容如下:数据备份管理要求、</w:t>
            </w:r>
          </w:p>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数据质量审查要求、数据隐私审查要求、基于多方安全计算的数据流通备份技术要求、基于区块链算的数据流通备份技术要求、基于联邦学习的数据流通备份技术要求。</w:t>
            </w:r>
          </w:p>
        </w:tc>
        <w:tc>
          <w:tcPr>
            <w:tcW w:w="2577"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中国工业互联网研究院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exact"/>
        </w:trPr>
        <w:tc>
          <w:tcPr>
            <w:tcW w:w="2111" w:type="dxa"/>
            <w:vAlign w:val="center"/>
          </w:tcPr>
          <w:p>
            <w:pPr>
              <w:pStyle w:val="6"/>
              <w:keepNext w:val="0"/>
              <w:keepLines w:val="0"/>
              <w:pageBreakBefore w:val="0"/>
              <w:widowControl/>
              <w:kinsoku/>
              <w:wordWrap/>
              <w:overflowPunct/>
              <w:topLinePunct w:val="0"/>
              <w:bidi w:val="0"/>
              <w:adjustRightInd/>
              <w:snapToGrid/>
              <w:spacing w:before="300" w:beforeAutospacing="0" w:after="300" w:afterAutospacing="0" w:line="500" w:lineRule="exact"/>
              <w:jc w:val="center"/>
              <w:textAlignment w:val="auto"/>
              <w:rPr>
                <w:rFonts w:hint="eastAsia" w:ascii="仿宋" w:hAnsi="仿宋" w:eastAsia="仿宋" w:cs="仿宋"/>
                <w:color w:val="000000"/>
                <w:sz w:val="28"/>
                <w:szCs w:val="28"/>
                <w:shd w:val="clear" w:color="auto" w:fill="FFFFFF"/>
                <w:lang w:val="en-US" w:eastAsia="zh-CN"/>
              </w:rPr>
            </w:pPr>
            <w:r>
              <w:rPr>
                <w:rFonts w:hint="eastAsia" w:ascii="仿宋" w:hAnsi="仿宋" w:eastAsia="仿宋" w:cs="仿宋"/>
                <w:color w:val="000000"/>
                <w:sz w:val="28"/>
                <w:szCs w:val="28"/>
                <w:shd w:val="clear" w:color="auto" w:fill="FFFFFF"/>
                <w:lang w:val="en-US" w:eastAsia="zh-CN"/>
              </w:rPr>
              <w:t>062-T/ISC-23</w:t>
            </w:r>
          </w:p>
        </w:tc>
        <w:tc>
          <w:tcPr>
            <w:tcW w:w="2549"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《数据确权风险控制通则》</w:t>
            </w:r>
          </w:p>
        </w:tc>
        <w:tc>
          <w:tcPr>
            <w:tcW w:w="1350"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2023.12</w:t>
            </w:r>
          </w:p>
        </w:tc>
        <w:tc>
          <w:tcPr>
            <w:tcW w:w="6001"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本标准将适用于企业内部处理个人数据和非个人数据的确权安全保障，规范企业确权过程，保护个人、数据合作商的数据权属不受侵犯。同时也适用于数据交易过程中的确权安全，保护数据交易双方和利益相关方的权属得到保护。</w:t>
            </w:r>
          </w:p>
        </w:tc>
        <w:tc>
          <w:tcPr>
            <w:tcW w:w="2577"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default"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上海邮电设计咨询研究院有限公司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exact"/>
        </w:trPr>
        <w:tc>
          <w:tcPr>
            <w:tcW w:w="2111"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063-T/ISC-23</w:t>
            </w:r>
          </w:p>
        </w:tc>
        <w:tc>
          <w:tcPr>
            <w:tcW w:w="2549"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《教育城域网SDN建设标准》</w:t>
            </w:r>
          </w:p>
        </w:tc>
        <w:tc>
          <w:tcPr>
            <w:tcW w:w="1350"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2023.12</w:t>
            </w:r>
          </w:p>
        </w:tc>
        <w:tc>
          <w:tcPr>
            <w:tcW w:w="6001"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left"/>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本标准适用于教育城域网的统一资源管理。本标准技术内容：教育城域网包括有线部分和无线部分，有线部分由接入，汇聚，核心三层设备组成，搭配城域网SDN控制器。无线部分由无线AC、无线AP组成。</w:t>
            </w:r>
          </w:p>
        </w:tc>
        <w:tc>
          <w:tcPr>
            <w:tcW w:w="2577"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苏州市电化教育馆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9" w:hRule="exact"/>
        </w:trPr>
        <w:tc>
          <w:tcPr>
            <w:tcW w:w="2111"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064-T/ISC-23</w:t>
            </w:r>
          </w:p>
        </w:tc>
        <w:tc>
          <w:tcPr>
            <w:tcW w:w="2549"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《信息通信行业安全生产风险分级管控机制实施指南》</w:t>
            </w:r>
          </w:p>
        </w:tc>
        <w:tc>
          <w:tcPr>
            <w:tcW w:w="1350"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2023.12</w:t>
            </w:r>
          </w:p>
        </w:tc>
        <w:tc>
          <w:tcPr>
            <w:tcW w:w="6001"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left"/>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本标准适用于指导信息通信行业的安全生产风险分级管控机制的建设。本标准给出了信息通信行业安全生产风险分级管控机制建设的术语定义，规定了安全生产风险分级管控基本要求、工作程序和内容、分级管控效果目标、持续改进、文件管理等内容。</w:t>
            </w:r>
          </w:p>
        </w:tc>
        <w:tc>
          <w:tcPr>
            <w:tcW w:w="2577"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中国电信广西分公司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6" w:hRule="exact"/>
        </w:trPr>
        <w:tc>
          <w:tcPr>
            <w:tcW w:w="2111"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065-T/ISC-23</w:t>
            </w:r>
          </w:p>
        </w:tc>
        <w:tc>
          <w:tcPr>
            <w:tcW w:w="2549"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《信息通信行业安全生产事故隐患排查治理机制实施指南》</w:t>
            </w:r>
          </w:p>
        </w:tc>
        <w:tc>
          <w:tcPr>
            <w:tcW w:w="1350"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2023.12</w:t>
            </w:r>
          </w:p>
        </w:tc>
        <w:tc>
          <w:tcPr>
            <w:tcW w:w="6001"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left"/>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本标准适用于指导信息通信行业的安全生产事故隐患排查治理机制的建设。本标准给出了信息通信行业安全生产事故隐患排查治理机制建设的主要术语定义，规定了隐患排查治理的基本要求、隐患分级分类基本规定、隐患排查工作</w:t>
            </w:r>
          </w:p>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left"/>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程序和内容、隐患排查治理实施方法及效果目标、持继改进、文件管理等内容。</w:t>
            </w:r>
          </w:p>
        </w:tc>
        <w:tc>
          <w:tcPr>
            <w:tcW w:w="2577" w:type="dxa"/>
            <w:vAlign w:val="center"/>
          </w:tcPr>
          <w:p>
            <w:pPr>
              <w:pStyle w:val="10"/>
              <w:keepNext w:val="0"/>
              <w:keepLines w:val="0"/>
              <w:pageBreakBefore w:val="0"/>
              <w:widowControl w:val="0"/>
              <w:kinsoku/>
              <w:wordWrap/>
              <w:overflowPunct/>
              <w:topLinePunct w:val="0"/>
              <w:bidi w:val="0"/>
              <w:adjustRightInd/>
              <w:snapToGrid/>
              <w:spacing w:line="500" w:lineRule="exact"/>
              <w:ind w:left="0" w:leftChars="0" w:firstLine="0" w:firstLineChars="0"/>
              <w:jc w:val="center"/>
              <w:textAlignment w:val="auto"/>
              <w:rPr>
                <w:rFonts w:hint="eastAsia" w:ascii="仿宋" w:hAnsi="仿宋" w:eastAsia="仿宋" w:cs="仿宋"/>
                <w:b w:val="0"/>
                <w:bCs w:val="0"/>
                <w:color w:val="000000"/>
                <w:kern w:val="0"/>
                <w:sz w:val="28"/>
                <w:szCs w:val="28"/>
                <w:shd w:val="clear" w:color="auto" w:fill="FFFFFF"/>
                <w:lang w:val="en-US" w:eastAsia="zh-CN" w:bidi="ar-SA"/>
              </w:rPr>
            </w:pPr>
            <w:r>
              <w:rPr>
                <w:rFonts w:hint="eastAsia" w:ascii="仿宋" w:hAnsi="仿宋" w:eastAsia="仿宋" w:cs="仿宋"/>
                <w:b w:val="0"/>
                <w:bCs w:val="0"/>
                <w:color w:val="000000"/>
                <w:kern w:val="0"/>
                <w:sz w:val="28"/>
                <w:szCs w:val="28"/>
                <w:shd w:val="clear" w:color="auto" w:fill="FFFFFF"/>
                <w:lang w:val="en-US" w:eastAsia="zh-CN" w:bidi="ar-SA"/>
              </w:rPr>
              <w:t>中国电信广西分公司</w:t>
            </w:r>
          </w:p>
        </w:tc>
      </w:tr>
    </w:tbl>
    <w:p>
      <w:pPr>
        <w:keepNext w:val="0"/>
        <w:keepLines w:val="0"/>
        <w:pageBreakBefore w:val="0"/>
        <w:kinsoku/>
        <w:wordWrap/>
        <w:overflowPunct/>
        <w:topLinePunct w:val="0"/>
        <w:bidi w:val="0"/>
        <w:adjustRightInd/>
        <w:snapToGrid/>
        <w:spacing w:line="500" w:lineRule="exact"/>
        <w:textAlignment w:val="auto"/>
        <w:rPr>
          <w:sz w:val="28"/>
          <w:szCs w:val="28"/>
        </w:rPr>
      </w:pPr>
    </w:p>
    <w:sectPr>
      <w:pgSz w:w="16838" w:h="11906" w:orient="landscape"/>
      <w:pgMar w:top="1180" w:right="1440" w:bottom="672"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2MGRmNTI5MzAwOGFhNjQ1OTUyYzJjYWU4MDg5YjIifQ=="/>
  </w:docVars>
  <w:rsids>
    <w:rsidRoot w:val="3528389B"/>
    <w:rsid w:val="00002602"/>
    <w:rsid w:val="000117B7"/>
    <w:rsid w:val="00042C39"/>
    <w:rsid w:val="0006011F"/>
    <w:rsid w:val="000E5DAF"/>
    <w:rsid w:val="00130C8A"/>
    <w:rsid w:val="0016644F"/>
    <w:rsid w:val="00200356"/>
    <w:rsid w:val="00240D1C"/>
    <w:rsid w:val="002A557F"/>
    <w:rsid w:val="002D3CE6"/>
    <w:rsid w:val="0031053A"/>
    <w:rsid w:val="00334D02"/>
    <w:rsid w:val="00440997"/>
    <w:rsid w:val="00445D0F"/>
    <w:rsid w:val="004951F2"/>
    <w:rsid w:val="00520E7D"/>
    <w:rsid w:val="00527FAA"/>
    <w:rsid w:val="00594497"/>
    <w:rsid w:val="0065170C"/>
    <w:rsid w:val="006532DE"/>
    <w:rsid w:val="006B3428"/>
    <w:rsid w:val="00711AB6"/>
    <w:rsid w:val="00720B1A"/>
    <w:rsid w:val="007347F4"/>
    <w:rsid w:val="00802AF9"/>
    <w:rsid w:val="0085041F"/>
    <w:rsid w:val="008916EF"/>
    <w:rsid w:val="009253CD"/>
    <w:rsid w:val="00995557"/>
    <w:rsid w:val="00A47EDA"/>
    <w:rsid w:val="00A80EFB"/>
    <w:rsid w:val="00AA587F"/>
    <w:rsid w:val="00B0150B"/>
    <w:rsid w:val="00B71922"/>
    <w:rsid w:val="00C143E0"/>
    <w:rsid w:val="00C244DE"/>
    <w:rsid w:val="00C93255"/>
    <w:rsid w:val="00C94747"/>
    <w:rsid w:val="00DA06DA"/>
    <w:rsid w:val="00DC188D"/>
    <w:rsid w:val="00E1601D"/>
    <w:rsid w:val="00ED22FE"/>
    <w:rsid w:val="02A718E7"/>
    <w:rsid w:val="04CF0FFD"/>
    <w:rsid w:val="08C7651A"/>
    <w:rsid w:val="0C9F4CFB"/>
    <w:rsid w:val="0DA367FD"/>
    <w:rsid w:val="0E813BB2"/>
    <w:rsid w:val="0EF25E12"/>
    <w:rsid w:val="11FC011F"/>
    <w:rsid w:val="127E7B12"/>
    <w:rsid w:val="137545ED"/>
    <w:rsid w:val="17B6563C"/>
    <w:rsid w:val="18E83F58"/>
    <w:rsid w:val="19300130"/>
    <w:rsid w:val="19611871"/>
    <w:rsid w:val="19C27A2F"/>
    <w:rsid w:val="1BAF1D5E"/>
    <w:rsid w:val="1C872AE9"/>
    <w:rsid w:val="1D0E6058"/>
    <w:rsid w:val="29193BCB"/>
    <w:rsid w:val="2EB01C1E"/>
    <w:rsid w:val="306C607D"/>
    <w:rsid w:val="32863E6A"/>
    <w:rsid w:val="342314B1"/>
    <w:rsid w:val="3528389B"/>
    <w:rsid w:val="367C4ADB"/>
    <w:rsid w:val="36FA25D0"/>
    <w:rsid w:val="3ABD63E8"/>
    <w:rsid w:val="3C0C3594"/>
    <w:rsid w:val="3C1648AE"/>
    <w:rsid w:val="3D8B21D4"/>
    <w:rsid w:val="3FE71217"/>
    <w:rsid w:val="43E845B0"/>
    <w:rsid w:val="44692B43"/>
    <w:rsid w:val="44F05D00"/>
    <w:rsid w:val="464B23B3"/>
    <w:rsid w:val="49C86A3B"/>
    <w:rsid w:val="4C1E7FBA"/>
    <w:rsid w:val="4C5A2FC3"/>
    <w:rsid w:val="4D7F3838"/>
    <w:rsid w:val="50A41EE3"/>
    <w:rsid w:val="50D93324"/>
    <w:rsid w:val="53A41C39"/>
    <w:rsid w:val="548903DE"/>
    <w:rsid w:val="561A68C2"/>
    <w:rsid w:val="57100E6D"/>
    <w:rsid w:val="5B1C065E"/>
    <w:rsid w:val="5B246C09"/>
    <w:rsid w:val="5BE56AFB"/>
    <w:rsid w:val="62890CFE"/>
    <w:rsid w:val="63CC234F"/>
    <w:rsid w:val="698D6C59"/>
    <w:rsid w:val="6A4B670C"/>
    <w:rsid w:val="6AB60C9F"/>
    <w:rsid w:val="6AD2649C"/>
    <w:rsid w:val="6BE544F4"/>
    <w:rsid w:val="6F364BD6"/>
    <w:rsid w:val="6FD85464"/>
    <w:rsid w:val="723A3E13"/>
    <w:rsid w:val="7496678D"/>
    <w:rsid w:val="773C3F4C"/>
    <w:rsid w:val="786557BA"/>
    <w:rsid w:val="79CE426D"/>
    <w:rsid w:val="7BA335D6"/>
    <w:rsid w:val="7BB0591F"/>
    <w:rsid w:val="7D014BEC"/>
    <w:rsid w:val="7F3F0DA1"/>
    <w:rsid w:val="7F473A18"/>
    <w:rsid w:val="7FC250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spacing w:after="120"/>
      <w:ind w:left="420" w:leftChars="2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段"/>
    <w:qFormat/>
    <w:uiPriority w:val="0"/>
    <w:pPr>
      <w:tabs>
        <w:tab w:val="center" w:pos="4201"/>
        <w:tab w:val="right" w:leader="dot" w:pos="9298"/>
      </w:tabs>
      <w:autoSpaceDE w:val="0"/>
      <w:autoSpaceDN w:val="0"/>
      <w:ind w:firstLine="567" w:firstLineChars="200"/>
      <w:jc w:val="both"/>
    </w:pPr>
    <w:rPr>
      <w:rFonts w:ascii="宋体" w:hAnsi="宋体" w:eastAsia="宋体" w:cs="Times New Roman"/>
      <w:lang w:val="en-US" w:eastAsia="zh-CN" w:bidi="ar-SA"/>
    </w:rPr>
  </w:style>
  <w:style w:type="character" w:customStyle="1" w:styleId="11">
    <w:name w:val="页眉 字符"/>
    <w:basedOn w:val="9"/>
    <w:link w:val="5"/>
    <w:qFormat/>
    <w:uiPriority w:val="0"/>
    <w:rPr>
      <w:kern w:val="2"/>
      <w:sz w:val="18"/>
      <w:szCs w:val="18"/>
    </w:rPr>
  </w:style>
  <w:style w:type="character" w:customStyle="1" w:styleId="12">
    <w:name w:val="页脚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1050</Words>
  <Characters>1158</Characters>
  <Lines>4</Lines>
  <Paragraphs>1</Paragraphs>
  <TotalTime>5</TotalTime>
  <ScaleCrop>false</ScaleCrop>
  <LinksUpToDate>false</LinksUpToDate>
  <CharactersWithSpaces>1158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2021-07-08T07:18:00Z</dcterms:created>
  <dc:creator>WPS_1527732945</dc:creator>
  <cp:lastModifiedBy>lenovo</cp:lastModifiedBy>
  <dcterms:modified xsi:type="dcterms:W3CDTF">2023-02-27T08:20:45Z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7A5DEAB2E24047CD943A70CE241128B8</vt:lpwstr>
  </property>
</Properties>
</file>