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FBD" w14:textId="77777777" w:rsidR="004046FA" w:rsidRPr="004046FA" w:rsidRDefault="004046FA" w:rsidP="004046FA">
      <w:pPr>
        <w:rPr>
          <w:rFonts w:ascii="仿宋" w:eastAsia="仿宋" w:hAnsi="仿宋"/>
          <w:sz w:val="32"/>
          <w:szCs w:val="32"/>
        </w:rPr>
      </w:pPr>
      <w:bookmarkStart w:id="0" w:name="_Hlk130561081"/>
      <w:r w:rsidRPr="004046FA">
        <w:rPr>
          <w:rFonts w:ascii="仿宋" w:eastAsia="仿宋" w:hAnsi="仿宋" w:hint="eastAsia"/>
          <w:sz w:val="32"/>
          <w:szCs w:val="32"/>
        </w:rPr>
        <w:t>附件五：</w:t>
      </w:r>
    </w:p>
    <w:p w14:paraId="16F5F011" w14:textId="77777777" w:rsidR="004046FA" w:rsidRDefault="004046FA" w:rsidP="004046FA"/>
    <w:p w14:paraId="74077DCF" w14:textId="77777777" w:rsidR="004046FA" w:rsidRDefault="004046FA" w:rsidP="004046FA">
      <w:pPr>
        <w:jc w:val="center"/>
        <w:rPr>
          <w:rStyle w:val="longtext1"/>
          <w:rFonts w:ascii="Times New Roman" w:eastAsia="黑体" w:hAnsi="Times New Roman"/>
          <w:sz w:val="36"/>
          <w:szCs w:val="32"/>
        </w:rPr>
      </w:pPr>
      <w:bookmarkStart w:id="1" w:name="_Hlk130549568"/>
      <w:r>
        <w:rPr>
          <w:rStyle w:val="longtext1"/>
          <w:rFonts w:ascii="Times New Roman" w:eastAsia="黑体" w:hAnsi="Times New Roman" w:hint="eastAsia"/>
          <w:sz w:val="36"/>
          <w:szCs w:val="32"/>
        </w:rPr>
        <w:t>202</w:t>
      </w:r>
      <w:r>
        <w:rPr>
          <w:rStyle w:val="longtext1"/>
          <w:rFonts w:ascii="Times New Roman" w:eastAsia="黑体" w:hAnsi="Times New Roman"/>
          <w:sz w:val="36"/>
          <w:szCs w:val="32"/>
        </w:rPr>
        <w:t>3</w:t>
      </w:r>
      <w:r>
        <w:rPr>
          <w:rStyle w:val="longtext1"/>
          <w:rFonts w:ascii="Times New Roman" w:eastAsia="黑体" w:hAnsi="Times New Roman" w:hint="eastAsia"/>
          <w:sz w:val="36"/>
          <w:szCs w:val="32"/>
        </w:rPr>
        <w:t>年中国互联网企业综合实力研究企业填报</w:t>
      </w:r>
      <w:r>
        <w:rPr>
          <w:rStyle w:val="longtext1"/>
          <w:rFonts w:ascii="Times New Roman" w:eastAsia="黑体" w:hAnsi="Times New Roman"/>
          <w:sz w:val="36"/>
          <w:szCs w:val="32"/>
        </w:rPr>
        <w:t>表</w:t>
      </w:r>
    </w:p>
    <w:p w14:paraId="5E7272E5" w14:textId="77777777" w:rsidR="004046FA" w:rsidRDefault="004046FA" w:rsidP="004046FA">
      <w:pPr>
        <w:jc w:val="center"/>
        <w:rPr>
          <w:rFonts w:ascii="Times New Roman" w:eastAsia="黑体" w:hAnsi="Times New Roman"/>
          <w:sz w:val="32"/>
          <w:szCs w:val="32"/>
        </w:rPr>
      </w:pPr>
      <w:r>
        <w:rPr>
          <w:rStyle w:val="longtext1"/>
          <w:rFonts w:ascii="Times New Roman" w:eastAsia="黑体" w:hAnsi="Times New Roman"/>
          <w:sz w:val="36"/>
          <w:szCs w:val="32"/>
        </w:rPr>
        <w:t>填</w:t>
      </w:r>
      <w:r>
        <w:rPr>
          <w:rStyle w:val="longtext1"/>
          <w:rFonts w:ascii="Times New Roman" w:eastAsia="黑体" w:hAnsi="Times New Roman" w:hint="eastAsia"/>
          <w:sz w:val="36"/>
          <w:szCs w:val="32"/>
        </w:rPr>
        <w:t>写</w:t>
      </w:r>
      <w:r>
        <w:rPr>
          <w:rStyle w:val="longtext1"/>
          <w:rFonts w:ascii="Times New Roman" w:eastAsia="黑体" w:hAnsi="Times New Roman"/>
          <w:sz w:val="36"/>
          <w:szCs w:val="32"/>
        </w:rPr>
        <w:t>说明</w:t>
      </w:r>
    </w:p>
    <w:p w14:paraId="67AEAF67"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sz w:val="32"/>
        </w:rPr>
        <w:t>企业名称：请填</w:t>
      </w:r>
      <w:r>
        <w:rPr>
          <w:rFonts w:ascii="仿宋" w:eastAsia="仿宋" w:hAnsi="仿宋" w:cs="仿宋" w:hint="eastAsia"/>
          <w:sz w:val="32"/>
        </w:rPr>
        <w:t>写贵企业在互联网企业综合实力评估结果上展现的名称，推荐使用集团名称。</w:t>
      </w:r>
    </w:p>
    <w:p w14:paraId="338BF80E" w14:textId="7C18D73D"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企业性质：请从“国有”、“非国有”两种性质中选一项填写。</w:t>
      </w:r>
      <w:r w:rsidR="00D17608">
        <w:rPr>
          <w:rFonts w:ascii="仿宋" w:eastAsia="仿宋" w:hAnsi="仿宋" w:cs="仿宋" w:hint="eastAsia"/>
          <w:sz w:val="32"/>
        </w:rPr>
        <w:t>“国有”包括</w:t>
      </w:r>
      <w:r w:rsidR="00050706" w:rsidRPr="00050706">
        <w:rPr>
          <w:rFonts w:ascii="仿宋" w:eastAsia="仿宋" w:hAnsi="仿宋" w:cs="仿宋" w:hint="eastAsia"/>
          <w:sz w:val="32"/>
        </w:rPr>
        <w:t>国有及国有控股企业、国有实际控制企业</w:t>
      </w:r>
      <w:r>
        <w:rPr>
          <w:rFonts w:ascii="仿宋" w:eastAsia="仿宋" w:hAnsi="仿宋" w:cs="仿宋" w:hint="eastAsia"/>
          <w:sz w:val="32"/>
        </w:rPr>
        <w:t>。</w:t>
      </w:r>
      <w:r w:rsidR="00050706">
        <w:rPr>
          <w:rFonts w:ascii="仿宋" w:eastAsia="仿宋" w:hAnsi="仿宋" w:cs="仿宋" w:hint="eastAsia"/>
          <w:sz w:val="32"/>
        </w:rPr>
        <w:t>具体可参照</w:t>
      </w:r>
      <w:r w:rsidR="00050706" w:rsidRPr="00050706">
        <w:rPr>
          <w:rFonts w:ascii="仿宋" w:eastAsia="仿宋" w:hAnsi="仿宋" w:cs="仿宋" w:hint="eastAsia"/>
          <w:sz w:val="32"/>
        </w:rPr>
        <w:t>国务院国有资产监督管理委员会</w:t>
      </w:r>
      <w:r w:rsidR="00050706">
        <w:rPr>
          <w:rFonts w:ascii="仿宋" w:eastAsia="仿宋" w:hAnsi="仿宋" w:cs="仿宋" w:hint="eastAsia"/>
          <w:sz w:val="32"/>
        </w:rPr>
        <w:t>公布的《</w:t>
      </w:r>
      <w:r w:rsidR="00050706" w:rsidRPr="00050706">
        <w:rPr>
          <w:rFonts w:ascii="仿宋" w:eastAsia="仿宋" w:hAnsi="仿宋" w:cs="仿宋" w:hint="eastAsia"/>
          <w:sz w:val="32"/>
        </w:rPr>
        <w:t>企业国有资产交易监督管理办法</w:t>
      </w:r>
      <w:r w:rsidR="00050706">
        <w:rPr>
          <w:rFonts w:ascii="仿宋" w:eastAsia="仿宋" w:hAnsi="仿宋" w:cs="仿宋" w:hint="eastAsia"/>
          <w:sz w:val="32"/>
        </w:rPr>
        <w:t>》</w:t>
      </w:r>
      <w:r w:rsidR="00D17608">
        <w:rPr>
          <w:rFonts w:ascii="仿宋" w:eastAsia="仿宋" w:hAnsi="仿宋" w:cs="仿宋" w:hint="eastAsia"/>
          <w:sz w:val="32"/>
        </w:rPr>
        <w:t>中第一章第四条</w:t>
      </w:r>
      <w:r w:rsidR="00050706">
        <w:rPr>
          <w:rFonts w:ascii="仿宋" w:eastAsia="仿宋" w:hAnsi="仿宋" w:cs="仿宋" w:hint="eastAsia"/>
          <w:sz w:val="32"/>
        </w:rPr>
        <w:t>。</w:t>
      </w:r>
    </w:p>
    <w:p w14:paraId="1BB811AC"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上市地点：如企业股票已经上市挂牌交易，则请填写挂牌交易所；如股票尚未上市挂牌，则请填写“未上市”。</w:t>
      </w:r>
    </w:p>
    <w:p w14:paraId="7F8AAC20"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注册地址：请填写位于国内的主要实体的注册地址。请勿填写境外地址。</w:t>
      </w:r>
    </w:p>
    <w:p w14:paraId="05FA541F"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流动资产：指在1年或者超过1年的一个营业周期内变现或耗用的资产，主要包括现金、银行存款、交易性金融资产、应收款项、存货等。</w:t>
      </w:r>
    </w:p>
    <w:p w14:paraId="6F79CC8D"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资产总额：指企业拥有或控制的全部资产，这些资产包括流动资产、长期投资、固定资产、无形及递延资产、其他长期资产等。</w:t>
      </w:r>
    </w:p>
    <w:p w14:paraId="2EA92C45"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流动负债：指在1年内或者超过1年的一个营业周期内需要偿还的债务合计，其中包括短期借款、应付及预收款项、应付工资、应交税金和应交利润等。</w:t>
      </w:r>
    </w:p>
    <w:p w14:paraId="2B140E09"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lastRenderedPageBreak/>
        <w:t>负债总额：企业在周期内流动负债和非流动负债合计。</w:t>
      </w:r>
    </w:p>
    <w:p w14:paraId="3B6B473C"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营业收入：包括企业的主营业务和其他业务收入、境内和境外的收入。不含营业外收入，不含增值税。</w:t>
      </w:r>
    </w:p>
    <w:p w14:paraId="1D98AC14"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14:paraId="050E4898"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境外互联网业务收入：来自中国境外的，通过互联网开展的业务实现的收入。</w:t>
      </w:r>
    </w:p>
    <w:p w14:paraId="1003B415"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营业成本：指企业从事销售商品、提供劳务和让渡资产使用权等生产经营活动发生的实际成本。包括“主营业务成本”和“其他业务成本”。</w:t>
      </w:r>
    </w:p>
    <w:p w14:paraId="79203A54"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研发费用：指企业研究开发新产品、新业务、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14:paraId="646AAB43"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营业利润：以营业收入为基础，减去营业成本、营业税金及附加、销售费用、管理费用、财务费用、资产减</w:t>
      </w:r>
      <w:r>
        <w:rPr>
          <w:rFonts w:ascii="仿宋" w:eastAsia="仿宋" w:hAnsi="仿宋" w:cs="仿宋" w:hint="eastAsia"/>
          <w:sz w:val="32"/>
        </w:rPr>
        <w:lastRenderedPageBreak/>
        <w:t>值损失，加上公允价值变动收益（减去公允价值变动损失）和投资收益（减去投资损失），计算得到营业利润。</w:t>
      </w:r>
    </w:p>
    <w:p w14:paraId="6B392831"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利润总额：指企业在一定会计期间的经营成果，是生产经营过程中各种收入扣除各种耗费后的盈余。</w:t>
      </w:r>
    </w:p>
    <w:p w14:paraId="0AC7CD80"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纳税总额：企业在在我国境内实际缴纳的所有税款合计金额。计算范围包括全部税种。</w:t>
      </w:r>
    </w:p>
    <w:p w14:paraId="2E2357FB"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员工总数：年度平均从业人数（含合并财务报表合并范围中所有企业的人数之和）。</w:t>
      </w:r>
    </w:p>
    <w:p w14:paraId="1CF2FFAB"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研发人数：年度平均主要从事研究和开发活动的从业人员数量（含合并财务报表合并范围中所有企业的研发人员人数之和）。</w:t>
      </w:r>
    </w:p>
    <w:p w14:paraId="3147018A"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企业简介：简要介绍企业基本情况，该内容主要用于互联网企业综合实力评估结果向社会发布时，介绍入选企业使用。</w:t>
      </w:r>
    </w:p>
    <w:p w14:paraId="0C12CA60"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各项业务开展情况：企业认为所有可以展现本企业在202</w:t>
      </w:r>
      <w:r>
        <w:rPr>
          <w:rFonts w:ascii="仿宋" w:eastAsia="仿宋" w:hAnsi="仿宋" w:cs="仿宋"/>
          <w:sz w:val="32"/>
        </w:rPr>
        <w:t>2</w:t>
      </w:r>
      <w:r>
        <w:rPr>
          <w:rFonts w:ascii="仿宋" w:eastAsia="仿宋" w:hAnsi="仿宋" w:cs="仿宋" w:hint="eastAsia"/>
          <w:sz w:val="32"/>
        </w:rPr>
        <w:t>年业务发展情况的信息均可在此填写，此处填写的内容在评选时会予以考虑。</w:t>
      </w:r>
    </w:p>
    <w:p w14:paraId="47EA840A"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创新情况：企业认为所有可以体现本企业在202</w:t>
      </w:r>
      <w:r>
        <w:rPr>
          <w:rFonts w:ascii="仿宋" w:eastAsia="仿宋" w:hAnsi="仿宋" w:cs="仿宋"/>
          <w:sz w:val="32"/>
        </w:rPr>
        <w:t>2</w:t>
      </w:r>
      <w:r>
        <w:rPr>
          <w:rFonts w:ascii="仿宋" w:eastAsia="仿宋" w:hAnsi="仿宋" w:cs="仿宋" w:hint="eastAsia"/>
          <w:sz w:val="32"/>
        </w:rPr>
        <w:t>年创新情况的信息均可在此填写，此处填写的内容在评价时会予以考虑。</w:t>
      </w:r>
    </w:p>
    <w:p w14:paraId="0AD85232"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社会贡献：展现企业2</w:t>
      </w:r>
      <w:r>
        <w:rPr>
          <w:rFonts w:ascii="仿宋" w:eastAsia="仿宋" w:hAnsi="仿宋" w:cs="仿宋"/>
          <w:sz w:val="32"/>
        </w:rPr>
        <w:t>022</w:t>
      </w:r>
      <w:r>
        <w:rPr>
          <w:rFonts w:ascii="仿宋" w:eastAsia="仿宋" w:hAnsi="仿宋" w:cs="仿宋" w:hint="eastAsia"/>
          <w:sz w:val="32"/>
        </w:rPr>
        <w:t>年在各个领域中的突出社会贡献，领域包含且不限于主流价值观宣传、正能量</w:t>
      </w:r>
      <w:r>
        <w:rPr>
          <w:rFonts w:ascii="仿宋" w:eastAsia="仿宋" w:hAnsi="仿宋" w:cs="仿宋" w:hint="eastAsia"/>
          <w:sz w:val="32"/>
        </w:rPr>
        <w:lastRenderedPageBreak/>
        <w:t>传播、疫情防控、碳中和、乡村振兴、共同富裕、劳动者权益保障、适老化建设、环境保护、社会公益、行业自律以及参与部委重点工作任务等。介绍材料需标明贡献所属领域。</w:t>
      </w:r>
    </w:p>
    <w:p w14:paraId="27D6047C"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行业表彰：企业在202</w:t>
      </w:r>
      <w:r>
        <w:rPr>
          <w:rFonts w:ascii="仿宋" w:eastAsia="仿宋" w:hAnsi="仿宋" w:cs="仿宋"/>
          <w:sz w:val="32"/>
        </w:rPr>
        <w:t>2</w:t>
      </w:r>
      <w:r>
        <w:rPr>
          <w:rFonts w:ascii="仿宋" w:eastAsia="仿宋" w:hAnsi="仿宋" w:cs="仿宋" w:hint="eastAsia"/>
          <w:sz w:val="32"/>
        </w:rPr>
        <w:t>年受到省部级单位的行业表彰情况，应包含奖项名称、发布单位及发展时间。</w:t>
      </w:r>
    </w:p>
    <w:p w14:paraId="5876C4FD"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行政处罚：指行政机关或其他行政主体依法定职权和程序对违反行政法规尚未构成犯罪的相对人给予行政制裁的具体行政行为。</w:t>
      </w:r>
    </w:p>
    <w:p w14:paraId="5F7003BC"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企业主要业务类别：指为企业级客户或消费者提供互联网服务的业务模式，请从下述业务模式中进行多项选择（最多选择三项，且按重要性排序）：网络游戏、网络营销、网络音视频、电子商务、互联网公共服务、云服务、生活服务、网络媒体、互联网金融、数据服务、实用工具、社交网络、生产制造服务、搜索服务、网络安全服务、互联网接入服务。</w:t>
      </w:r>
    </w:p>
    <w:p w14:paraId="674C3DBA"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主要服务对象：即企业的主要客户类</w:t>
      </w:r>
      <w:r>
        <w:rPr>
          <w:rFonts w:ascii="仿宋" w:eastAsia="仿宋" w:hAnsi="仿宋" w:cs="仿宋"/>
          <w:sz w:val="32"/>
        </w:rPr>
        <w:tab/>
      </w:r>
      <w:r>
        <w:rPr>
          <w:rFonts w:ascii="仿宋" w:eastAsia="仿宋" w:hAnsi="仿宋" w:cs="仿宋" w:hint="eastAsia"/>
          <w:sz w:val="32"/>
        </w:rPr>
        <w:t>型，请从“个人”、“企业”、“两者兼有”三个类别中选择一项填写。如果</w:t>
      </w:r>
      <w:r>
        <w:rPr>
          <w:rFonts w:ascii="仿宋" w:eastAsia="仿宋" w:hAnsi="仿宋" w:cs="仿宋" w:hint="eastAsia"/>
          <w:sz w:val="32"/>
          <w:szCs w:val="36"/>
        </w:rPr>
        <w:t>填报</w:t>
      </w:r>
      <w:r>
        <w:rPr>
          <w:rFonts w:ascii="仿宋" w:eastAsia="仿宋" w:hAnsi="仿宋" w:cs="仿宋" w:hint="eastAsia"/>
          <w:sz w:val="32"/>
        </w:rPr>
        <w:t>企业70%以上的客户为个人或企业，则请选择对应项目，否则请选择“两者兼有”。</w:t>
      </w:r>
    </w:p>
    <w:p w14:paraId="72E90121"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发明专利权（项）：截至202</w:t>
      </w:r>
      <w:r>
        <w:rPr>
          <w:rFonts w:ascii="仿宋" w:eastAsia="仿宋" w:hAnsi="仿宋" w:cs="仿宋"/>
          <w:sz w:val="32"/>
        </w:rPr>
        <w:t>2</w:t>
      </w:r>
      <w:r>
        <w:rPr>
          <w:rFonts w:ascii="仿宋" w:eastAsia="仿宋" w:hAnsi="仿宋" w:cs="仿宋" w:hint="eastAsia"/>
          <w:sz w:val="32"/>
        </w:rPr>
        <w:t>年底，企业持有的由我国或外国专利主管机关授予的，尚处于在法定保护期限内的</w:t>
      </w:r>
      <w:r>
        <w:rPr>
          <w:rFonts w:ascii="仿宋" w:eastAsia="仿宋" w:hAnsi="仿宋" w:cs="仿宋" w:hint="eastAsia"/>
          <w:b/>
          <w:bCs/>
          <w:sz w:val="32"/>
        </w:rPr>
        <w:t>发明专利</w:t>
      </w:r>
      <w:r w:rsidRPr="0050550F">
        <w:rPr>
          <w:rFonts w:ascii="仿宋" w:eastAsia="仿宋" w:hAnsi="仿宋" w:cs="仿宋" w:hint="eastAsia"/>
          <w:b/>
          <w:bCs/>
          <w:sz w:val="32"/>
        </w:rPr>
        <w:t>权</w:t>
      </w:r>
      <w:r>
        <w:rPr>
          <w:rFonts w:ascii="仿宋" w:eastAsia="仿宋" w:hAnsi="仿宋" w:cs="仿宋" w:hint="eastAsia"/>
          <w:sz w:val="32"/>
        </w:rPr>
        <w:t>数量。特别注意：本项</w:t>
      </w:r>
      <w:r>
        <w:rPr>
          <w:rFonts w:ascii="仿宋" w:eastAsia="仿宋" w:hAnsi="仿宋" w:cs="仿宋" w:hint="eastAsia"/>
          <w:b/>
          <w:bCs/>
          <w:sz w:val="32"/>
        </w:rPr>
        <w:t>只统计</w:t>
      </w:r>
      <w:r>
        <w:rPr>
          <w:rFonts w:ascii="仿宋" w:eastAsia="仿宋" w:hAnsi="仿宋" w:cs="仿宋" w:hint="eastAsia"/>
          <w:sz w:val="32"/>
        </w:rPr>
        <w:t>发明专利数</w:t>
      </w:r>
      <w:r>
        <w:rPr>
          <w:rFonts w:ascii="仿宋" w:eastAsia="仿宋" w:hAnsi="仿宋" w:cs="仿宋" w:hint="eastAsia"/>
          <w:sz w:val="32"/>
        </w:rPr>
        <w:lastRenderedPageBreak/>
        <w:t>量，</w:t>
      </w:r>
      <w:r>
        <w:rPr>
          <w:rFonts w:ascii="仿宋" w:eastAsia="仿宋" w:hAnsi="仿宋" w:cs="仿宋" w:hint="eastAsia"/>
          <w:b/>
          <w:bCs/>
          <w:sz w:val="32"/>
        </w:rPr>
        <w:t>不包含</w:t>
      </w:r>
      <w:r>
        <w:rPr>
          <w:rFonts w:ascii="仿宋" w:eastAsia="仿宋" w:hAnsi="仿宋" w:cs="仿宋" w:hint="eastAsia"/>
          <w:sz w:val="32"/>
        </w:rPr>
        <w:t>实用新型、外观设计专利数量，</w:t>
      </w:r>
      <w:r>
        <w:rPr>
          <w:rFonts w:ascii="仿宋" w:eastAsia="仿宋" w:hAnsi="仿宋" w:cs="仿宋" w:hint="eastAsia"/>
          <w:b/>
          <w:bCs/>
          <w:sz w:val="32"/>
        </w:rPr>
        <w:t>也不包含</w:t>
      </w:r>
      <w:r>
        <w:rPr>
          <w:rFonts w:ascii="仿宋" w:eastAsia="仿宋" w:hAnsi="仿宋" w:cs="仿宋" w:hint="eastAsia"/>
          <w:sz w:val="32"/>
        </w:rPr>
        <w:t>版权（如软件著作权）数量。</w:t>
      </w:r>
    </w:p>
    <w:p w14:paraId="6FDD32CA"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签约企业用户数：当</w:t>
      </w:r>
      <w:r>
        <w:rPr>
          <w:rStyle w:val="longtext1"/>
          <w:rFonts w:ascii="仿宋" w:eastAsia="仿宋" w:hAnsi="仿宋" w:cs="仿宋" w:hint="eastAsia"/>
          <w:sz w:val="32"/>
          <w:szCs w:val="32"/>
        </w:rPr>
        <w:t>主要服务对象</w:t>
      </w:r>
      <w:r>
        <w:rPr>
          <w:rFonts w:ascii="仿宋" w:eastAsia="仿宋" w:hAnsi="仿宋" w:cs="仿宋" w:hint="eastAsia"/>
          <w:sz w:val="32"/>
        </w:rPr>
        <w:t>选填为“企业”时，需填写本项。签约企业用户数指在202</w:t>
      </w:r>
      <w:r>
        <w:rPr>
          <w:rFonts w:ascii="仿宋" w:eastAsia="仿宋" w:hAnsi="仿宋" w:cs="仿宋"/>
          <w:sz w:val="32"/>
        </w:rPr>
        <w:t>2</w:t>
      </w:r>
      <w:r>
        <w:rPr>
          <w:rFonts w:ascii="仿宋" w:eastAsia="仿宋" w:hAnsi="仿宋" w:cs="仿宋" w:hint="eastAsia"/>
          <w:sz w:val="32"/>
        </w:rPr>
        <w:t>年内，与</w:t>
      </w:r>
      <w:r>
        <w:rPr>
          <w:rStyle w:val="longtext1"/>
          <w:rFonts w:ascii="仿宋" w:eastAsia="仿宋" w:hAnsi="仿宋" w:cs="仿宋" w:hint="eastAsia"/>
          <w:sz w:val="32"/>
          <w:szCs w:val="32"/>
        </w:rPr>
        <w:t>填报</w:t>
      </w:r>
      <w:r>
        <w:rPr>
          <w:rFonts w:ascii="仿宋" w:eastAsia="仿宋" w:hAnsi="仿宋" w:cs="仿宋" w:hint="eastAsia"/>
          <w:sz w:val="32"/>
        </w:rPr>
        <w:t>企业签订合同（或处于合同存续期内），并与</w:t>
      </w:r>
      <w:r>
        <w:rPr>
          <w:rStyle w:val="longtext1"/>
          <w:rFonts w:ascii="仿宋" w:eastAsia="仿宋" w:hAnsi="仿宋" w:cs="仿宋" w:hint="eastAsia"/>
          <w:sz w:val="32"/>
          <w:szCs w:val="32"/>
        </w:rPr>
        <w:t>填报</w:t>
      </w:r>
      <w:r>
        <w:rPr>
          <w:rFonts w:ascii="仿宋" w:eastAsia="仿宋" w:hAnsi="仿宋" w:cs="仿宋" w:hint="eastAsia"/>
          <w:sz w:val="32"/>
        </w:rPr>
        <w:t>企业正常开展业务的企业客户数。企业用户指在工商注册的企业级单位，</w:t>
      </w:r>
      <w:r>
        <w:rPr>
          <w:rFonts w:ascii="仿宋" w:eastAsia="仿宋" w:hAnsi="仿宋" w:cs="仿宋" w:hint="eastAsia"/>
          <w:b/>
          <w:bCs/>
          <w:sz w:val="32"/>
        </w:rPr>
        <w:t>不包含</w:t>
      </w:r>
      <w:r>
        <w:rPr>
          <w:rFonts w:ascii="仿宋" w:eastAsia="仿宋" w:hAnsi="仿宋" w:cs="仿宋" w:hint="eastAsia"/>
          <w:sz w:val="32"/>
        </w:rPr>
        <w:t>商户或个人。单位为“个”。</w:t>
      </w:r>
    </w:p>
    <w:p w14:paraId="13F26D7D" w14:textId="72F89FFA"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桌面端日均覆盖用户数（DUV，万）：当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选填为“个人”时，需填写本项。202</w:t>
      </w:r>
      <w:r>
        <w:rPr>
          <w:rFonts w:ascii="仿宋" w:eastAsia="仿宋" w:hAnsi="仿宋" w:cs="仿宋"/>
          <w:sz w:val="32"/>
        </w:rPr>
        <w:t>2</w:t>
      </w:r>
      <w:r>
        <w:rPr>
          <w:rFonts w:ascii="仿宋" w:eastAsia="仿宋" w:hAnsi="仿宋" w:cs="仿宋" w:hint="eastAsia"/>
          <w:sz w:val="32"/>
        </w:rPr>
        <w:t>年1月1日-12月31日期间，企业旗下活跃度</w:t>
      </w:r>
      <w:r w:rsidRPr="001B33A4">
        <w:rPr>
          <w:rFonts w:ascii="仿宋" w:eastAsia="仿宋" w:hAnsi="仿宋" w:cs="仿宋" w:hint="eastAsia"/>
          <w:b/>
          <w:bCs/>
          <w:sz w:val="32"/>
        </w:rPr>
        <w:t>最高</w:t>
      </w:r>
      <w:r>
        <w:rPr>
          <w:rFonts w:ascii="仿宋" w:eastAsia="仿宋" w:hAnsi="仿宋" w:cs="仿宋" w:hint="eastAsia"/>
          <w:sz w:val="32"/>
        </w:rPr>
        <w:t>的</w:t>
      </w:r>
      <w:r w:rsidR="00B51204" w:rsidRPr="001B33A4">
        <w:rPr>
          <w:rFonts w:ascii="仿宋" w:eastAsia="仿宋" w:hAnsi="仿宋" w:cs="仿宋" w:hint="eastAsia"/>
          <w:b/>
          <w:bCs/>
          <w:sz w:val="32"/>
        </w:rPr>
        <w:t>单一</w:t>
      </w:r>
      <w:r>
        <w:rPr>
          <w:rFonts w:ascii="仿宋" w:eastAsia="仿宋" w:hAnsi="仿宋" w:cs="仿宋" w:hint="eastAsia"/>
          <w:sz w:val="32"/>
        </w:rPr>
        <w:t>产品/服务的桌面端（包含PC网页端和PC客户端）日均覆盖用户数（等同于日均独立访问者数量，DUV）。单位为“万”。</w:t>
      </w:r>
    </w:p>
    <w:p w14:paraId="565F22DC" w14:textId="7D65BF6A"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移动端日均活跃用户数（DAU，万）：当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选填为“个人”时，需填写本项。202</w:t>
      </w:r>
      <w:r>
        <w:rPr>
          <w:rFonts w:ascii="仿宋" w:eastAsia="仿宋" w:hAnsi="仿宋" w:cs="仿宋"/>
          <w:sz w:val="32"/>
        </w:rPr>
        <w:t>2</w:t>
      </w:r>
      <w:r>
        <w:rPr>
          <w:rFonts w:ascii="仿宋" w:eastAsia="仿宋" w:hAnsi="仿宋" w:cs="仿宋" w:hint="eastAsia"/>
          <w:sz w:val="32"/>
        </w:rPr>
        <w:t>年1月1日-12月31日期间，企业旗下活跃度</w:t>
      </w:r>
      <w:r w:rsidRPr="001B33A4">
        <w:rPr>
          <w:rFonts w:ascii="仿宋" w:eastAsia="仿宋" w:hAnsi="仿宋" w:cs="仿宋" w:hint="eastAsia"/>
          <w:b/>
          <w:bCs/>
          <w:sz w:val="32"/>
        </w:rPr>
        <w:t>最高</w:t>
      </w:r>
      <w:r>
        <w:rPr>
          <w:rFonts w:ascii="仿宋" w:eastAsia="仿宋" w:hAnsi="仿宋" w:cs="仿宋" w:hint="eastAsia"/>
          <w:sz w:val="32"/>
        </w:rPr>
        <w:t>的</w:t>
      </w:r>
      <w:r w:rsidR="00B51204" w:rsidRPr="001B33A4">
        <w:rPr>
          <w:rFonts w:ascii="仿宋" w:eastAsia="仿宋" w:hAnsi="仿宋" w:cs="仿宋" w:hint="eastAsia"/>
          <w:b/>
          <w:bCs/>
          <w:sz w:val="32"/>
        </w:rPr>
        <w:t>单一</w:t>
      </w:r>
      <w:r>
        <w:rPr>
          <w:rFonts w:ascii="仿宋" w:eastAsia="仿宋" w:hAnsi="仿宋" w:cs="仿宋" w:hint="eastAsia"/>
          <w:sz w:val="32"/>
        </w:rPr>
        <w:t>产品/服务的移动端（包含移动网页端和移动APP）</w:t>
      </w:r>
      <w:proofErr w:type="gramStart"/>
      <w:r>
        <w:rPr>
          <w:rFonts w:ascii="仿宋" w:eastAsia="仿宋" w:hAnsi="仿宋" w:cs="仿宋" w:hint="eastAsia"/>
          <w:sz w:val="32"/>
        </w:rPr>
        <w:t>日活跃</w:t>
      </w:r>
      <w:proofErr w:type="gramEnd"/>
      <w:r>
        <w:rPr>
          <w:rFonts w:ascii="仿宋" w:eastAsia="仿宋" w:hAnsi="仿宋" w:cs="仿宋" w:hint="eastAsia"/>
          <w:sz w:val="32"/>
        </w:rPr>
        <w:t>户数（DAU）。单位为“万”。</w:t>
      </w:r>
    </w:p>
    <w:p w14:paraId="1AC93295"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w:t>
      </w:r>
      <w:r>
        <w:rPr>
          <w:rFonts w:ascii="仿宋" w:eastAsia="仿宋" w:hAnsi="仿宋" w:cs="仿宋" w:hint="eastAsia"/>
          <w:sz w:val="32"/>
        </w:rPr>
        <w:lastRenderedPageBreak/>
        <w:t>特点等内容。</w:t>
      </w:r>
    </w:p>
    <w:p w14:paraId="33A63DBE" w14:textId="77777777" w:rsidR="004046FA" w:rsidRDefault="004046FA" w:rsidP="004046FA">
      <w:pPr>
        <w:numPr>
          <w:ilvl w:val="0"/>
          <w:numId w:val="1"/>
        </w:numPr>
        <w:ind w:firstLineChars="200" w:firstLine="640"/>
        <w:rPr>
          <w:rFonts w:ascii="仿宋" w:eastAsia="仿宋" w:hAnsi="仿宋" w:cs="仿宋"/>
          <w:color w:val="FF0000"/>
          <w:sz w:val="32"/>
        </w:rPr>
      </w:pPr>
      <w:r>
        <w:rPr>
          <w:rFonts w:ascii="仿宋" w:eastAsia="仿宋" w:hAnsi="仿宋" w:cs="仿宋" w:hint="eastAsia"/>
          <w:sz w:val="32"/>
        </w:rPr>
        <w:t>估值：指</w:t>
      </w:r>
      <w:r>
        <w:rPr>
          <w:rFonts w:ascii="仿宋" w:eastAsia="仿宋" w:hAnsi="仿宋" w:cs="仿宋"/>
          <w:sz w:val="32"/>
        </w:rPr>
        <w:t>未上市公司</w:t>
      </w:r>
      <w:r>
        <w:rPr>
          <w:rFonts w:ascii="仿宋" w:eastAsia="仿宋" w:hAnsi="仿宋" w:cs="仿宋" w:hint="eastAsia"/>
          <w:sz w:val="32"/>
        </w:rPr>
        <w:t>的投资方</w:t>
      </w:r>
      <w:r>
        <w:rPr>
          <w:rFonts w:ascii="仿宋" w:eastAsia="仿宋" w:hAnsi="仿宋" w:cs="仿宋"/>
          <w:sz w:val="32"/>
        </w:rPr>
        <w:t>评估的</w:t>
      </w:r>
      <w:r>
        <w:rPr>
          <w:rFonts w:ascii="仿宋" w:eastAsia="仿宋" w:hAnsi="仿宋" w:cs="仿宋" w:hint="eastAsia"/>
          <w:sz w:val="32"/>
        </w:rPr>
        <w:t>该公司</w:t>
      </w:r>
      <w:r>
        <w:rPr>
          <w:rFonts w:ascii="仿宋" w:eastAsia="仿宋" w:hAnsi="仿宋" w:cs="仿宋"/>
          <w:sz w:val="32"/>
        </w:rPr>
        <w:t>市场价值，</w:t>
      </w:r>
      <w:r>
        <w:rPr>
          <w:rFonts w:ascii="仿宋" w:eastAsia="仿宋" w:hAnsi="仿宋" w:cs="仿宋" w:hint="eastAsia"/>
          <w:sz w:val="32"/>
        </w:rPr>
        <w:t>以</w:t>
      </w:r>
      <w:r>
        <w:rPr>
          <w:rFonts w:ascii="仿宋" w:eastAsia="仿宋" w:hAnsi="仿宋" w:cs="仿宋"/>
          <w:sz w:val="32"/>
        </w:rPr>
        <w:t>融资完成后的</w:t>
      </w:r>
      <w:r>
        <w:rPr>
          <w:rFonts w:ascii="仿宋" w:eastAsia="仿宋" w:hAnsi="仿宋" w:cs="仿宋" w:hint="eastAsia"/>
          <w:sz w:val="32"/>
        </w:rPr>
        <w:t>公开</w:t>
      </w:r>
      <w:r>
        <w:rPr>
          <w:rFonts w:ascii="仿宋" w:eastAsia="仿宋" w:hAnsi="仿宋" w:cs="仿宋"/>
          <w:sz w:val="32"/>
        </w:rPr>
        <w:t>披露</w:t>
      </w:r>
      <w:r>
        <w:rPr>
          <w:rFonts w:ascii="仿宋" w:eastAsia="仿宋" w:hAnsi="仿宋" w:cs="仿宋" w:hint="eastAsia"/>
          <w:sz w:val="32"/>
        </w:rPr>
        <w:t>或具有</w:t>
      </w:r>
      <w:r>
        <w:rPr>
          <w:rFonts w:ascii="仿宋" w:eastAsia="仿宋" w:hAnsi="仿宋" w:cs="仿宋"/>
          <w:sz w:val="32"/>
        </w:rPr>
        <w:t>投资方</w:t>
      </w:r>
      <w:r>
        <w:rPr>
          <w:rFonts w:ascii="仿宋" w:eastAsia="仿宋" w:hAnsi="仿宋" w:cs="仿宋" w:hint="eastAsia"/>
          <w:sz w:val="32"/>
        </w:rPr>
        <w:t>认证</w:t>
      </w:r>
      <w:r>
        <w:rPr>
          <w:rFonts w:ascii="仿宋" w:eastAsia="仿宋" w:hAnsi="仿宋" w:cs="仿宋"/>
          <w:sz w:val="32"/>
        </w:rPr>
        <w:t>的</w:t>
      </w:r>
      <w:r>
        <w:rPr>
          <w:rFonts w:ascii="仿宋" w:eastAsia="仿宋" w:hAnsi="仿宋" w:cs="仿宋" w:hint="eastAsia"/>
          <w:sz w:val="32"/>
        </w:rPr>
        <w:t>信息</w:t>
      </w:r>
      <w:r>
        <w:rPr>
          <w:rFonts w:ascii="仿宋" w:eastAsia="仿宋" w:hAnsi="仿宋" w:cs="仿宋"/>
          <w:sz w:val="32"/>
        </w:rPr>
        <w:t>为准</w:t>
      </w:r>
      <w:r>
        <w:rPr>
          <w:rFonts w:ascii="仿宋" w:eastAsia="仿宋" w:hAnsi="仿宋" w:cs="仿宋" w:hint="eastAsia"/>
          <w:sz w:val="32"/>
        </w:rPr>
        <w:t>（应</w:t>
      </w:r>
      <w:r>
        <w:rPr>
          <w:rFonts w:ascii="仿宋" w:eastAsia="仿宋" w:hAnsi="仿宋" w:cs="仿宋"/>
          <w:sz w:val="32"/>
        </w:rPr>
        <w:t>附上出处或证明</w:t>
      </w:r>
      <w:r>
        <w:rPr>
          <w:rFonts w:ascii="仿宋" w:eastAsia="仿宋" w:hAnsi="仿宋" w:cs="仿宋" w:hint="eastAsia"/>
          <w:sz w:val="32"/>
        </w:rPr>
        <w:t>）</w:t>
      </w:r>
      <w:r>
        <w:rPr>
          <w:rFonts w:ascii="仿宋" w:eastAsia="仿宋" w:hAnsi="仿宋" w:cs="仿宋"/>
          <w:sz w:val="32"/>
        </w:rPr>
        <w:t>。填报</w:t>
      </w:r>
      <w:r>
        <w:rPr>
          <w:rFonts w:ascii="仿宋" w:eastAsia="仿宋" w:hAnsi="仿宋" w:cs="仿宋" w:hint="eastAsia"/>
          <w:sz w:val="32"/>
        </w:rPr>
        <w:t>时间与相关融资轮次</w:t>
      </w:r>
      <w:r>
        <w:rPr>
          <w:rFonts w:ascii="仿宋" w:eastAsia="仿宋" w:hAnsi="仿宋" w:cs="仿宋"/>
          <w:sz w:val="32"/>
        </w:rPr>
        <w:t>时间</w:t>
      </w:r>
      <w:r>
        <w:rPr>
          <w:rFonts w:ascii="仿宋" w:eastAsia="仿宋" w:hAnsi="仿宋" w:cs="仿宋" w:hint="eastAsia"/>
          <w:sz w:val="32"/>
        </w:rPr>
        <w:t>保持</w:t>
      </w:r>
      <w:r>
        <w:rPr>
          <w:rFonts w:ascii="仿宋" w:eastAsia="仿宋" w:hAnsi="仿宋" w:cs="仿宋"/>
          <w:sz w:val="32"/>
        </w:rPr>
        <w:t>一致，历史估值尽量全面</w:t>
      </w:r>
      <w:r>
        <w:rPr>
          <w:rFonts w:ascii="仿宋" w:eastAsia="仿宋" w:hAnsi="仿宋" w:cs="仿宋" w:hint="eastAsia"/>
          <w:sz w:val="32"/>
        </w:rPr>
        <w:t>。无</w:t>
      </w:r>
      <w:r>
        <w:rPr>
          <w:rFonts w:ascii="仿宋" w:eastAsia="仿宋" w:hAnsi="仿宋" w:cs="仿宋"/>
          <w:sz w:val="32"/>
        </w:rPr>
        <w:t>估值信息</w:t>
      </w:r>
      <w:r>
        <w:rPr>
          <w:rFonts w:ascii="仿宋" w:eastAsia="仿宋" w:hAnsi="仿宋" w:cs="仿宋" w:hint="eastAsia"/>
          <w:sz w:val="32"/>
        </w:rPr>
        <w:t>的</w:t>
      </w:r>
      <w:r>
        <w:rPr>
          <w:rFonts w:ascii="仿宋" w:eastAsia="仿宋" w:hAnsi="仿宋" w:cs="仿宋"/>
          <w:sz w:val="32"/>
        </w:rPr>
        <w:t>公司</w:t>
      </w:r>
      <w:r>
        <w:rPr>
          <w:rFonts w:ascii="仿宋" w:eastAsia="仿宋" w:hAnsi="仿宋" w:cs="仿宋" w:hint="eastAsia"/>
          <w:sz w:val="32"/>
        </w:rPr>
        <w:t>，</w:t>
      </w:r>
      <w:r>
        <w:rPr>
          <w:rFonts w:ascii="仿宋" w:eastAsia="仿宋" w:hAnsi="仿宋" w:cs="仿宋"/>
          <w:sz w:val="32"/>
        </w:rPr>
        <w:t>可填报与自己业务可比</w:t>
      </w:r>
      <w:r>
        <w:rPr>
          <w:rFonts w:ascii="仿宋" w:eastAsia="仿宋" w:hAnsi="仿宋" w:cs="仿宋" w:hint="eastAsia"/>
          <w:sz w:val="32"/>
        </w:rPr>
        <w:t>的公司名称（优先</w:t>
      </w:r>
      <w:r>
        <w:rPr>
          <w:rFonts w:ascii="仿宋" w:eastAsia="仿宋" w:hAnsi="仿宋" w:cs="仿宋"/>
          <w:sz w:val="32"/>
        </w:rPr>
        <w:t>填报上市公司</w:t>
      </w:r>
      <w:r>
        <w:rPr>
          <w:rFonts w:ascii="仿宋" w:eastAsia="仿宋" w:hAnsi="仿宋" w:cs="仿宋" w:hint="eastAsia"/>
          <w:sz w:val="32"/>
        </w:rPr>
        <w:t>）</w:t>
      </w:r>
    </w:p>
    <w:p w14:paraId="0B9B8408" w14:textId="77777777" w:rsidR="004046FA" w:rsidRDefault="004046FA" w:rsidP="004046FA">
      <w:pPr>
        <w:numPr>
          <w:ilvl w:val="0"/>
          <w:numId w:val="1"/>
        </w:numPr>
        <w:ind w:firstLineChars="200" w:firstLine="640"/>
        <w:rPr>
          <w:rStyle w:val="longtext1"/>
          <w:rFonts w:ascii="Times New Roman" w:eastAsia="仿宋_GB2312" w:hAnsi="Times New Roman"/>
          <w:sz w:val="32"/>
          <w:szCs w:val="32"/>
        </w:rPr>
      </w:pPr>
      <w:r>
        <w:rPr>
          <w:rFonts w:ascii="仿宋" w:eastAsia="仿宋" w:hAnsi="仿宋" w:cs="仿宋" w:hint="eastAsia"/>
          <w:sz w:val="32"/>
        </w:rPr>
        <w:t>市值：指上市公司的发行股份按市场价格计算出来的股票总价值，为每股股票的市场价格乘以发行总股数。多地</w:t>
      </w:r>
      <w:r>
        <w:rPr>
          <w:rFonts w:ascii="仿宋" w:eastAsia="仿宋" w:hAnsi="仿宋" w:cs="仿宋"/>
          <w:sz w:val="32"/>
        </w:rPr>
        <w:t>上市</w:t>
      </w:r>
      <w:r>
        <w:rPr>
          <w:rFonts w:ascii="仿宋" w:eastAsia="仿宋" w:hAnsi="仿宋" w:cs="仿宋" w:hint="eastAsia"/>
          <w:sz w:val="32"/>
        </w:rPr>
        <w:t>的</w:t>
      </w:r>
      <w:r>
        <w:rPr>
          <w:rFonts w:ascii="仿宋" w:eastAsia="仿宋" w:hAnsi="仿宋" w:cs="仿宋"/>
          <w:sz w:val="32"/>
        </w:rPr>
        <w:t>企业按其最初上市</w:t>
      </w:r>
      <w:proofErr w:type="gramStart"/>
      <w:r>
        <w:rPr>
          <w:rFonts w:ascii="仿宋" w:eastAsia="仿宋" w:hAnsi="仿宋" w:cs="仿宋"/>
          <w:sz w:val="32"/>
        </w:rPr>
        <w:t>地行情</w:t>
      </w:r>
      <w:proofErr w:type="gramEnd"/>
      <w:r>
        <w:rPr>
          <w:rFonts w:ascii="仿宋" w:eastAsia="仿宋" w:hAnsi="仿宋" w:cs="仿宋"/>
          <w:sz w:val="32"/>
        </w:rPr>
        <w:t>计算。填报时间</w:t>
      </w:r>
      <w:r>
        <w:rPr>
          <w:rFonts w:ascii="仿宋" w:eastAsia="仿宋" w:hAnsi="仿宋" w:cs="仿宋" w:hint="eastAsia"/>
          <w:sz w:val="32"/>
        </w:rPr>
        <w:t>为</w:t>
      </w:r>
      <w:r>
        <w:rPr>
          <w:rFonts w:ascii="仿宋" w:eastAsia="仿宋" w:hAnsi="仿宋" w:cs="仿宋"/>
          <w:sz w:val="32"/>
        </w:rPr>
        <w:t>自然年度最后交易截止日收盘</w:t>
      </w:r>
      <w:r>
        <w:rPr>
          <w:rFonts w:ascii="仿宋" w:eastAsia="仿宋" w:hAnsi="仿宋" w:cs="仿宋" w:hint="eastAsia"/>
          <w:sz w:val="32"/>
        </w:rPr>
        <w:t>价</w:t>
      </w:r>
      <w:r>
        <w:rPr>
          <w:rFonts w:ascii="仿宋" w:eastAsia="仿宋" w:hAnsi="仿宋" w:cs="仿宋"/>
          <w:sz w:val="32"/>
        </w:rPr>
        <w:t>计算的市值。</w:t>
      </w:r>
      <w:r>
        <w:rPr>
          <w:rFonts w:ascii="仿宋" w:eastAsia="仿宋" w:hAnsi="仿宋" w:cs="仿宋" w:hint="eastAsia"/>
          <w:sz w:val="32"/>
        </w:rPr>
        <w:t>填报</w:t>
      </w:r>
      <w:r>
        <w:rPr>
          <w:rFonts w:ascii="仿宋" w:eastAsia="仿宋" w:hAnsi="仿宋" w:cs="仿宋"/>
          <w:sz w:val="32"/>
        </w:rPr>
        <w:t>数量</w:t>
      </w:r>
      <w:r>
        <w:rPr>
          <w:rFonts w:ascii="仿宋" w:eastAsia="仿宋" w:hAnsi="仿宋" w:cs="仿宋" w:hint="eastAsia"/>
          <w:sz w:val="32"/>
        </w:rPr>
        <w:t>最少两个、最多五个，不足两个的（近两年</w:t>
      </w:r>
      <w:r>
        <w:rPr>
          <w:rFonts w:ascii="仿宋" w:eastAsia="仿宋" w:hAnsi="仿宋" w:cs="仿宋"/>
          <w:sz w:val="32"/>
        </w:rPr>
        <w:t>完成首次公开募股的</w:t>
      </w:r>
      <w:r>
        <w:rPr>
          <w:rFonts w:ascii="仿宋" w:eastAsia="仿宋" w:hAnsi="仿宋" w:cs="仿宋" w:hint="eastAsia"/>
          <w:sz w:val="32"/>
        </w:rPr>
        <w:t>公司）需补充以上市首发日收盘价计算的市值。</w:t>
      </w:r>
    </w:p>
    <w:p w14:paraId="6824F0DC" w14:textId="77777777" w:rsidR="004046FA" w:rsidRDefault="004046FA" w:rsidP="004046FA">
      <w:pPr>
        <w:numPr>
          <w:ilvl w:val="0"/>
          <w:numId w:val="1"/>
        </w:numPr>
        <w:ind w:firstLineChars="200" w:firstLine="640"/>
        <w:rPr>
          <w:rFonts w:ascii="Times New Roman" w:eastAsia="仿宋_GB2312" w:hAnsi="Times New Roman"/>
          <w:sz w:val="32"/>
          <w:szCs w:val="32"/>
        </w:rPr>
      </w:pPr>
      <w:r>
        <w:rPr>
          <w:rFonts w:ascii="仿宋" w:eastAsia="仿宋" w:hAnsi="仿宋" w:cs="仿宋" w:hint="eastAsia"/>
          <w:sz w:val="32"/>
        </w:rPr>
        <w:t>未来是否有投资意向：指企业在未来一年内，是否有对外投资或对内融资的意愿或计划。</w:t>
      </w:r>
      <w:bookmarkEnd w:id="1"/>
    </w:p>
    <w:bookmarkEnd w:id="0"/>
    <w:p w14:paraId="3E9C340C" w14:textId="77777777" w:rsidR="00C02CD1" w:rsidRPr="004046FA" w:rsidRDefault="00C02CD1"/>
    <w:sectPr w:rsidR="00C02CD1" w:rsidRPr="004046FA" w:rsidSect="004046FA">
      <w:headerReference w:type="default" r:id="rId7"/>
      <w:footerReference w:type="default" r:id="rId8"/>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2E7B" w14:textId="77777777" w:rsidR="007B6FFE" w:rsidRDefault="007B6FFE" w:rsidP="00E773AF">
      <w:r>
        <w:separator/>
      </w:r>
    </w:p>
  </w:endnote>
  <w:endnote w:type="continuationSeparator" w:id="0">
    <w:p w14:paraId="3105D44C" w14:textId="77777777" w:rsidR="007B6FFE" w:rsidRDefault="007B6FFE" w:rsidP="00E7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GB2312">
    <w:altName w:val="宋体"/>
    <w:charset w:val="86"/>
    <w:family w:val="roman"/>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7687" w14:textId="77777777" w:rsidR="004046FA" w:rsidRDefault="004046FA">
    <w:pPr>
      <w:pStyle w:val="a5"/>
    </w:pPr>
    <w:r>
      <w:rPr>
        <w:noProof/>
      </w:rPr>
      <mc:AlternateContent>
        <mc:Choice Requires="wps">
          <w:drawing>
            <wp:anchor distT="0" distB="0" distL="114300" distR="114300" simplePos="0" relativeHeight="251659264" behindDoc="0" locked="0" layoutInCell="1" allowOverlap="1" wp14:anchorId="59FC8502" wp14:editId="478781AE">
              <wp:simplePos x="0" y="0"/>
              <wp:positionH relativeFrom="margin">
                <wp:align>center</wp:align>
              </wp:positionH>
              <wp:positionV relativeFrom="paragraph">
                <wp:posOffset>-635</wp:posOffset>
              </wp:positionV>
              <wp:extent cx="1828800" cy="1828800"/>
              <wp:effectExtent l="0" t="0" r="1270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6344AA" w14:textId="77777777" w:rsidR="004046FA" w:rsidRDefault="004046FA">
                          <w:pPr>
                            <w:pStyle w:val="a5"/>
                          </w:pPr>
                          <w:r>
                            <w:t xml:space="preserve">第 </w:t>
                          </w:r>
                          <w:r>
                            <w:fldChar w:fldCharType="begin"/>
                          </w:r>
                          <w:r>
                            <w:instrText xml:space="preserve"> PAGE  \* MERGEFORMAT </w:instrText>
                          </w:r>
                          <w:r>
                            <w:fldChar w:fldCharType="separate"/>
                          </w:r>
                          <w:r>
                            <w:t>1</w:t>
                          </w:r>
                          <w:r>
                            <w:fldChar w:fldCharType="end"/>
                          </w:r>
                          <w:r>
                            <w:t xml:space="preserve"> 页 共 </w:t>
                          </w:r>
                          <w:fldSimple w:instr=" NUMPAGES  \* MERGEFORMAT ">
                            <w:r>
                              <w:t>15</w:t>
                            </w:r>
                          </w:fldSimple>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FC8502" id="_x0000_t202" coordsize="21600,21600" o:spt="202" path="m,l,21600r21600,l21600,xe">
              <v:stroke joinstyle="miter"/>
              <v:path gradientshapeok="t" o:connecttype="rect"/>
            </v:shapetype>
            <v:shape id="文本框 2" o:spid="_x0000_s1026" type="#_x0000_t202" style="position:absolute;margin-left:0;margin-top:-.0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" filled="f" stroked="f" strokeweight=".5pt">
              <v:textbox style="mso-fit-shape-to-text:t" inset="0,0,0,0">
                <w:txbxContent>
                  <w:p w14:paraId="576344AA" w14:textId="77777777" w:rsidR="004046FA" w:rsidRDefault="004046FA">
                    <w:pPr>
                      <w:pStyle w:val="a5"/>
                    </w:pPr>
                    <w:r>
                      <w:t xml:space="preserve">第 </w:t>
                    </w:r>
                    <w:r>
                      <w:fldChar w:fldCharType="begin"/>
                    </w:r>
                    <w:r>
                      <w:instrText xml:space="preserve"> PAGE  \* MERGEFORMAT </w:instrText>
                    </w:r>
                    <w:r>
                      <w:fldChar w:fldCharType="separate"/>
                    </w:r>
                    <w:r>
                      <w:t>1</w:t>
                    </w:r>
                    <w:r>
                      <w:fldChar w:fldCharType="end"/>
                    </w:r>
                    <w:r>
                      <w:t xml:space="preserve"> 页 共 </w:t>
                    </w:r>
                    <w:fldSimple w:instr=" NUMPAGES  \* MERGEFORMAT ">
                      <w:r>
                        <w:t>15</w:t>
                      </w:r>
                    </w:fldSimple>
                    <w:r>
                      <w:t xml:space="preserve"> 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E9B1" w14:textId="77777777" w:rsidR="007B6FFE" w:rsidRDefault="007B6FFE" w:rsidP="00E773AF">
      <w:r>
        <w:separator/>
      </w:r>
    </w:p>
  </w:footnote>
  <w:footnote w:type="continuationSeparator" w:id="0">
    <w:p w14:paraId="21EAB4C2" w14:textId="77777777" w:rsidR="007B6FFE" w:rsidRDefault="007B6FFE" w:rsidP="00E7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1669" w14:textId="77777777" w:rsidR="004046FA" w:rsidRDefault="004046FA">
    <w:pPr>
      <w:pStyle w:val="a3"/>
      <w:jc w:val="right"/>
    </w:pP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3E9EC885" wp14:editId="6C7F6789">
          <wp:extent cx="278765" cy="241935"/>
          <wp:effectExtent l="0" t="0" r="6985" b="5080"/>
          <wp:docPr id="7" name="图片 7" descr="微信图片_2020082109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821091036"/>
                  <pic:cNvPicPr>
                    <a:picLocks noChangeAspect="1"/>
                  </pic:cNvPicPr>
                </pic:nvPicPr>
                <pic:blipFill>
                  <a:blip r:embed="rId1"/>
                  <a:stretch>
                    <a:fillRect/>
                  </a:stretch>
                </pic:blipFill>
                <pic:spPr>
                  <a:xfrm>
                    <a:off x="0" y="0"/>
                    <a:ext cx="278765" cy="241935"/>
                  </a:xfrm>
                  <a:prstGeom prst="rect">
                    <a:avLst/>
                  </a:prstGeom>
                </pic:spPr>
              </pic:pic>
            </a:graphicData>
          </a:graphic>
        </wp:inline>
      </w:drawing>
    </w: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6EB3EF13" wp14:editId="07E792EF">
          <wp:extent cx="662305" cy="290195"/>
          <wp:effectExtent l="0" t="0" r="4445" b="0"/>
          <wp:docPr id="8" name="图片 8" descr="微信图片_202008210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821091030"/>
                  <pic:cNvPicPr>
                    <a:picLocks noChangeAspect="1"/>
                  </pic:cNvPicPr>
                </pic:nvPicPr>
                <pic:blipFill>
                  <a:blip r:embed="rId2"/>
                  <a:stretch>
                    <a:fillRect/>
                  </a:stretch>
                </pic:blipFill>
                <pic:spPr>
                  <a:xfrm>
                    <a:off x="0" y="0"/>
                    <a:ext cx="662305" cy="290195"/>
                  </a:xfrm>
                  <a:prstGeom prst="rect">
                    <a:avLst/>
                  </a:prstGeom>
                </pic:spPr>
              </pic:pic>
            </a:graphicData>
          </a:graphic>
        </wp:inline>
      </w:drawing>
    </w:r>
    <w:r>
      <w:rPr>
        <w:rFonts w:ascii="黑体" w:eastAsia="黑体" w:hAnsi="黑体" w:cs="黑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9A"/>
    <w:multiLevelType w:val="multilevel"/>
    <w:tmpl w:val="0468309A"/>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5E5C3F94"/>
    <w:multiLevelType w:val="singleLevel"/>
    <w:tmpl w:val="5E5C3F94"/>
    <w:lvl w:ilvl="0">
      <w:start w:val="1"/>
      <w:numFmt w:val="chineseCounting"/>
      <w:suff w:val="nothing"/>
      <w:lvlText w:val="%1、"/>
      <w:lvlJc w:val="left"/>
      <w:pPr>
        <w:ind w:left="0" w:firstLine="420"/>
      </w:pPr>
      <w:rPr>
        <w:rFonts w:ascii="仿宋" w:eastAsia="仿宋" w:hAnsi="仿宋"/>
        <w:color w:val="auto"/>
        <w:u w:val="none"/>
      </w:rPr>
    </w:lvl>
  </w:abstractNum>
  <w:abstractNum w:abstractNumId="2" w15:restartNumberingAfterBreak="0">
    <w:nsid w:val="736E11AE"/>
    <w:multiLevelType w:val="multilevel"/>
    <w:tmpl w:val="736E11AE"/>
    <w:lvl w:ilvl="0">
      <w:start w:val="1"/>
      <w:numFmt w:val="decimal"/>
      <w:pStyle w:val="1"/>
      <w:suff w:val="space"/>
      <w:lvlText w:val="%1."/>
      <w:lvlJc w:val="left"/>
      <w:pPr>
        <w:ind w:left="425" w:hanging="425"/>
      </w:pPr>
      <w:rPr>
        <w:rFonts w:ascii="仿宋GB2312" w:eastAsia="仿宋GB2312" w:hAnsi="Times New Roman" w:cs="Times New Roman" w:hint="eastAsia"/>
        <w:i w:val="0"/>
        <w:iCs w:val="0"/>
        <w:caps w:val="0"/>
        <w:smallCaps w:val="0"/>
        <w:strike w:val="0"/>
        <w:dstrike w:val="0"/>
        <w:vanish w:val="0"/>
        <w:spacing w:val="0"/>
        <w:kern w:val="0"/>
        <w:position w:val="0"/>
        <w:u w:val="none"/>
        <w:vertAlign w:val="baseline"/>
      </w:rPr>
    </w:lvl>
    <w:lvl w:ilvl="1">
      <w:start w:val="1"/>
      <w:numFmt w:val="decimal"/>
      <w:suff w:val="space"/>
      <w:lvlText w:val="%1.%2."/>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2">
      <w:start w:val="1"/>
      <w:numFmt w:val="decimal"/>
      <w:suff w:val="space"/>
      <w:lvlText w:val="%1.%2.%3."/>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127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425" w:hanging="425"/>
      </w:pPr>
      <w:rPr>
        <w:rFonts w:eastAsia="仿宋GB2312"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16cid:durableId="916356982">
    <w:abstractNumId w:val="1"/>
    <w:lvlOverride w:ilvl="0">
      <w:startOverride w:val="1"/>
    </w:lvlOverride>
  </w:num>
  <w:num w:numId="2" w16cid:durableId="203758301">
    <w:abstractNumId w:val="2"/>
  </w:num>
  <w:num w:numId="3" w16cid:durableId="131059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77"/>
    <w:rsid w:val="00050706"/>
    <w:rsid w:val="001B33A4"/>
    <w:rsid w:val="002F6303"/>
    <w:rsid w:val="004046FA"/>
    <w:rsid w:val="0050550F"/>
    <w:rsid w:val="0056515E"/>
    <w:rsid w:val="00732A4E"/>
    <w:rsid w:val="007B6FFE"/>
    <w:rsid w:val="00856277"/>
    <w:rsid w:val="00873659"/>
    <w:rsid w:val="00B51204"/>
    <w:rsid w:val="00C02CD1"/>
    <w:rsid w:val="00D17608"/>
    <w:rsid w:val="00E7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0C52D"/>
  <w15:chartTrackingRefBased/>
  <w15:docId w15:val="{1AE38552-DE5C-4B30-8315-921340D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6FA"/>
    <w:pPr>
      <w:widowControl w:val="0"/>
      <w:jc w:val="both"/>
    </w:pPr>
  </w:style>
  <w:style w:type="paragraph" w:styleId="1">
    <w:name w:val="heading 1"/>
    <w:basedOn w:val="a"/>
    <w:next w:val="a"/>
    <w:link w:val="10"/>
    <w:qFormat/>
    <w:rsid w:val="004046FA"/>
    <w:pPr>
      <w:keepNext/>
      <w:keepLines/>
      <w:numPr>
        <w:numId w:val="2"/>
      </w:numPr>
      <w:spacing w:line="480" w:lineRule="auto"/>
      <w:outlineLvl w:val="0"/>
    </w:pPr>
    <w:rPr>
      <w:rFonts w:ascii="仿宋_GB2312" w:eastAsia="仿宋_GB2312" w:hAnsi="仿宋"/>
      <w:b/>
      <w:bCs/>
      <w:kern w:val="44"/>
      <w:sz w:val="28"/>
      <w:szCs w:val="28"/>
    </w:rPr>
  </w:style>
  <w:style w:type="paragraph" w:styleId="2">
    <w:name w:val="heading 2"/>
    <w:basedOn w:val="a"/>
    <w:next w:val="a"/>
    <w:link w:val="20"/>
    <w:uiPriority w:val="9"/>
    <w:unhideWhenUsed/>
    <w:qFormat/>
    <w:rsid w:val="004046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046FA"/>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E773A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4046F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773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773AF"/>
    <w:rPr>
      <w:sz w:val="18"/>
      <w:szCs w:val="18"/>
    </w:rPr>
  </w:style>
  <w:style w:type="paragraph" w:styleId="a5">
    <w:name w:val="footer"/>
    <w:basedOn w:val="a"/>
    <w:link w:val="a6"/>
    <w:uiPriority w:val="99"/>
    <w:unhideWhenUsed/>
    <w:qFormat/>
    <w:rsid w:val="00E773AF"/>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773AF"/>
    <w:rPr>
      <w:sz w:val="18"/>
      <w:szCs w:val="18"/>
    </w:rPr>
  </w:style>
  <w:style w:type="character" w:customStyle="1" w:styleId="40">
    <w:name w:val="标题 4 字符"/>
    <w:basedOn w:val="a0"/>
    <w:link w:val="4"/>
    <w:uiPriority w:val="9"/>
    <w:qFormat/>
    <w:rsid w:val="00E773AF"/>
    <w:rPr>
      <w:rFonts w:asciiTheme="majorHAnsi" w:eastAsiaTheme="majorEastAsia" w:hAnsiTheme="majorHAnsi" w:cstheme="majorBidi"/>
      <w:b/>
      <w:bCs/>
      <w:sz w:val="28"/>
      <w:szCs w:val="28"/>
    </w:rPr>
  </w:style>
  <w:style w:type="character" w:customStyle="1" w:styleId="longtext1">
    <w:name w:val="long_text1"/>
    <w:qFormat/>
    <w:rsid w:val="00E773AF"/>
    <w:rPr>
      <w:sz w:val="13"/>
      <w:szCs w:val="13"/>
    </w:rPr>
  </w:style>
  <w:style w:type="character" w:customStyle="1" w:styleId="10">
    <w:name w:val="标题 1 字符"/>
    <w:basedOn w:val="a0"/>
    <w:link w:val="1"/>
    <w:qFormat/>
    <w:rsid w:val="004046FA"/>
    <w:rPr>
      <w:rFonts w:ascii="仿宋_GB2312" w:eastAsia="仿宋_GB2312" w:hAnsi="仿宋"/>
      <w:b/>
      <w:bCs/>
      <w:kern w:val="44"/>
      <w:sz w:val="28"/>
      <w:szCs w:val="28"/>
    </w:rPr>
  </w:style>
  <w:style w:type="character" w:customStyle="1" w:styleId="20">
    <w:name w:val="标题 2 字符"/>
    <w:basedOn w:val="a0"/>
    <w:link w:val="2"/>
    <w:uiPriority w:val="9"/>
    <w:qFormat/>
    <w:rsid w:val="004046FA"/>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4046FA"/>
    <w:rPr>
      <w:b/>
      <w:bCs/>
      <w:sz w:val="32"/>
      <w:szCs w:val="32"/>
    </w:rPr>
  </w:style>
  <w:style w:type="character" w:customStyle="1" w:styleId="50">
    <w:name w:val="标题 5 字符"/>
    <w:basedOn w:val="a0"/>
    <w:link w:val="5"/>
    <w:uiPriority w:val="9"/>
    <w:qFormat/>
    <w:rsid w:val="004046FA"/>
    <w:rPr>
      <w:b/>
      <w:bCs/>
      <w:sz w:val="28"/>
      <w:szCs w:val="28"/>
    </w:rPr>
  </w:style>
  <w:style w:type="paragraph" w:styleId="a7">
    <w:name w:val="annotation text"/>
    <w:basedOn w:val="a"/>
    <w:link w:val="a8"/>
    <w:uiPriority w:val="99"/>
    <w:semiHidden/>
    <w:unhideWhenUsed/>
    <w:qFormat/>
    <w:rsid w:val="004046FA"/>
    <w:pPr>
      <w:jc w:val="left"/>
    </w:pPr>
  </w:style>
  <w:style w:type="character" w:customStyle="1" w:styleId="a8">
    <w:name w:val="批注文字 字符"/>
    <w:basedOn w:val="a0"/>
    <w:link w:val="a7"/>
    <w:uiPriority w:val="99"/>
    <w:semiHidden/>
    <w:rsid w:val="004046FA"/>
  </w:style>
  <w:style w:type="paragraph" w:styleId="a9">
    <w:name w:val="Body Text"/>
    <w:basedOn w:val="a"/>
    <w:link w:val="aa"/>
    <w:uiPriority w:val="99"/>
    <w:unhideWhenUsed/>
    <w:qFormat/>
    <w:rsid w:val="004046FA"/>
    <w:pPr>
      <w:spacing w:after="120"/>
    </w:pPr>
  </w:style>
  <w:style w:type="character" w:customStyle="1" w:styleId="aa">
    <w:name w:val="正文文本 字符"/>
    <w:basedOn w:val="a0"/>
    <w:link w:val="a9"/>
    <w:uiPriority w:val="99"/>
    <w:rsid w:val="004046FA"/>
  </w:style>
  <w:style w:type="paragraph" w:styleId="ab">
    <w:name w:val="footnote text"/>
    <w:basedOn w:val="a"/>
    <w:link w:val="ac"/>
    <w:uiPriority w:val="99"/>
    <w:semiHidden/>
    <w:unhideWhenUsed/>
    <w:qFormat/>
    <w:rsid w:val="004046FA"/>
    <w:pPr>
      <w:snapToGrid w:val="0"/>
      <w:jc w:val="left"/>
    </w:pPr>
    <w:rPr>
      <w:sz w:val="18"/>
      <w:szCs w:val="18"/>
    </w:rPr>
  </w:style>
  <w:style w:type="character" w:customStyle="1" w:styleId="ac">
    <w:name w:val="脚注文本 字符"/>
    <w:basedOn w:val="a0"/>
    <w:link w:val="ab"/>
    <w:uiPriority w:val="99"/>
    <w:semiHidden/>
    <w:qFormat/>
    <w:rsid w:val="004046FA"/>
    <w:rPr>
      <w:sz w:val="18"/>
      <w:szCs w:val="18"/>
    </w:rPr>
  </w:style>
  <w:style w:type="table" w:styleId="ad">
    <w:name w:val="Table Grid"/>
    <w:basedOn w:val="a1"/>
    <w:uiPriority w:val="39"/>
    <w:qFormat/>
    <w:rsid w:val="004046F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4046FA"/>
    <w:rPr>
      <w:b/>
      <w:bCs/>
    </w:rPr>
  </w:style>
  <w:style w:type="character" w:styleId="af">
    <w:name w:val="annotation reference"/>
    <w:basedOn w:val="a0"/>
    <w:uiPriority w:val="99"/>
    <w:semiHidden/>
    <w:unhideWhenUsed/>
    <w:qFormat/>
    <w:rsid w:val="004046FA"/>
    <w:rPr>
      <w:sz w:val="21"/>
      <w:szCs w:val="21"/>
    </w:rPr>
  </w:style>
  <w:style w:type="character" w:styleId="af0">
    <w:name w:val="footnote reference"/>
    <w:basedOn w:val="a0"/>
    <w:uiPriority w:val="99"/>
    <w:semiHidden/>
    <w:unhideWhenUsed/>
    <w:qFormat/>
    <w:rsid w:val="004046FA"/>
    <w:rPr>
      <w:vertAlign w:val="superscript"/>
    </w:rPr>
  </w:style>
  <w:style w:type="paragraph" w:customStyle="1" w:styleId="BodyText1I2">
    <w:name w:val="BodyText1I2"/>
    <w:basedOn w:val="BodyTextIndent"/>
    <w:qFormat/>
    <w:rsid w:val="004046FA"/>
    <w:pPr>
      <w:ind w:firstLine="420"/>
    </w:pPr>
  </w:style>
  <w:style w:type="paragraph" w:customStyle="1" w:styleId="BodyTextIndent">
    <w:name w:val="BodyTextIndent"/>
    <w:basedOn w:val="a"/>
    <w:qFormat/>
    <w:rsid w:val="004046FA"/>
    <w:pPr>
      <w:spacing w:after="120"/>
      <w:ind w:leftChars="200" w:left="420"/>
    </w:pPr>
  </w:style>
  <w:style w:type="paragraph" w:styleId="af1">
    <w:name w:val="List Paragraph"/>
    <w:basedOn w:val="a"/>
    <w:uiPriority w:val="34"/>
    <w:qFormat/>
    <w:rsid w:val="004046FA"/>
    <w:pPr>
      <w:ind w:firstLineChars="200" w:firstLine="420"/>
    </w:pPr>
  </w:style>
  <w:style w:type="paragraph" w:customStyle="1" w:styleId="11">
    <w:name w:val="列表段落1"/>
    <w:basedOn w:val="a"/>
    <w:uiPriority w:val="34"/>
    <w:qFormat/>
    <w:rsid w:val="004046FA"/>
    <w:pPr>
      <w:ind w:firstLineChars="200" w:firstLine="420"/>
    </w:pPr>
  </w:style>
  <w:style w:type="paragraph" w:customStyle="1" w:styleId="12">
    <w:name w:val="修订1"/>
    <w:hidden/>
    <w:uiPriority w:val="99"/>
    <w:semiHidden/>
    <w:qFormat/>
    <w:rsid w:val="004046FA"/>
  </w:style>
  <w:style w:type="character" w:customStyle="1" w:styleId="font01">
    <w:name w:val="font01"/>
    <w:basedOn w:val="a0"/>
    <w:qFormat/>
    <w:rsid w:val="004046FA"/>
    <w:rPr>
      <w:rFonts w:ascii="Times New Roman" w:hAnsi="Times New Roman" w:cs="Times New Roman" w:hint="default"/>
      <w:color w:val="000000"/>
      <w:sz w:val="32"/>
      <w:szCs w:val="32"/>
      <w:u w:val="none"/>
    </w:rPr>
  </w:style>
  <w:style w:type="character" w:customStyle="1" w:styleId="font21">
    <w:name w:val="font21"/>
    <w:basedOn w:val="a0"/>
    <w:qFormat/>
    <w:rsid w:val="004046FA"/>
    <w:rPr>
      <w:rFonts w:ascii="黑体" w:eastAsia="黑体" w:hAnsi="宋体" w:cs="黑体"/>
      <w:color w:val="000000"/>
      <w:sz w:val="32"/>
      <w:szCs w:val="32"/>
      <w:u w:val="none"/>
    </w:rPr>
  </w:style>
  <w:style w:type="paragraph" w:customStyle="1" w:styleId="21">
    <w:name w:val="修订2"/>
    <w:hidden/>
    <w:uiPriority w:val="99"/>
    <w:semiHidden/>
    <w:qFormat/>
    <w:rsid w:val="0040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zy</dc:creator>
  <cp:keywords/>
  <dc:description/>
  <cp:lastModifiedBy>g zy</cp:lastModifiedBy>
  <cp:revision>7</cp:revision>
  <dcterms:created xsi:type="dcterms:W3CDTF">2023-04-04T09:08:00Z</dcterms:created>
  <dcterms:modified xsi:type="dcterms:W3CDTF">2023-04-06T09:29:00Z</dcterms:modified>
</cp:coreProperties>
</file>