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w:t>
      </w:r>
    </w:p>
    <w:p>
      <w:pPr>
        <w:ind w:firstLine="1320" w:firstLineChars="300"/>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企业合规师专业水平培训介绍</w:t>
      </w:r>
    </w:p>
    <w:bookmarkEnd w:id="0"/>
    <w:p>
      <w:pPr>
        <w:spacing w:line="240" w:lineRule="exact"/>
        <w:ind w:firstLine="1320" w:firstLineChars="300"/>
        <w:rPr>
          <w:rFonts w:ascii="方正小标宋简体" w:hAnsi="方正小标宋简体" w:eastAsia="方正小标宋简体" w:cs="方正小标宋简体"/>
          <w:sz w:val="44"/>
          <w:szCs w:val="44"/>
        </w:rPr>
      </w:pPr>
    </w:p>
    <w:p>
      <w:pPr>
        <w:rPr>
          <w:rFonts w:ascii="黑体" w:hAnsi="黑体" w:eastAsia="黑体" w:cs="黑体"/>
          <w:b/>
          <w:bCs/>
          <w:sz w:val="32"/>
          <w:szCs w:val="32"/>
        </w:rPr>
      </w:pPr>
      <w:r>
        <w:rPr>
          <w:rFonts w:hint="eastAsia" w:ascii="黑体" w:hAnsi="黑体" w:eastAsia="黑体" w:cs="黑体"/>
          <w:sz w:val="30"/>
          <w:szCs w:val="30"/>
        </w:rPr>
        <w:t xml:space="preserve">    </w:t>
      </w:r>
      <w:r>
        <w:rPr>
          <w:rFonts w:hint="eastAsia" w:ascii="黑体" w:hAnsi="黑体" w:eastAsia="黑体" w:cs="黑体"/>
          <w:sz w:val="32"/>
          <w:szCs w:val="32"/>
        </w:rPr>
        <w:t>一、背景介绍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合规师是经中国贸促会商事法律服务中心申报，由人力资源和社会保障部、国家市场监督管理总局、国家统计局三部门于2021年3月18日联合发布的国家新职业。在《中华人民共和国职业分类大典》中归类为第二大类——专业技术人员，同会计师、税务师、审计师、经济师、工程师、律师等同类别。企业合规师成为国家正式职业，是适应新时代企业高质量发展的需要。近年来，政府有关部门出台了一系列企业合规管理政策及指引，持续加快推进企业合规管理体系建设，不仅对企业合规经营和强化合规管理进行规制规范，也对合规管理人员的专业知识、业务素质、技术能力、操作水平提出更高的要求。企业合规管理正在向着专业化、职业化方向发展，需要大批掌握合规专门知识并具备实务专业技术能力的企业合规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6月，最高人民检察院联合司法部、国务院国资委、中国贸促会等八部门共同发布《关于建立涉案企业合规第三方监督评估机制的指导意见（试行）》。中国贸促会做为第三方机制成员单位，大力推动企业合规师与律师、注册会计师、税务师一并列入第三方机制专业人员名录库，承担涉案企业合规第三方监督评估工作。在规范企业投资经营行为、推动履行社会责任、增强企业竞争软实力等方面，企业合规师都将发挥积极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着眼于推动企业合规师新职业规范有序发展，为企业合规建设提供有力人才保障，2022年9月，中国贸促会、中国互联网协会等共同发布的《企业合规师通用职业技术技能要求》职业标准，从知识架构、专业技术、职业素养三个维度对企业合规师的专业水平设定了衡量指标和评价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此背景下，中国贸促会商法中心作为企业合规师新职业的申报单位，现与中国互联网协会共同推出企业合规师专业水平培训。企业合规师专业水平培训，立足于企业合规工作需求和具体实践，按照国家新职业管理相关规定，对学员合规管理基础知识、企业合规管理重点领域和重点流程环节开展专项培训，帮助学员建立企业合规管理所需的知识框架，快速提升合规管理实务操作能力，参与企业合规建设工作，拓宽职业发展道路。</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二、培训体系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合规师通过制定并实施企业合规管理规划、计划和制度，开展监督、调查和处理工作，管理企业合规义务风险，使企业及其内部成员行为符合法律法规、监管要求、行业规定和道德规范。企业合规师工作范围贯穿企业生产经营活动全过程，要求从业人员须以企业合规管理专业知识为基础，同时具备业务、法律、财务等跨学科、复合型知识结构，并且具备与企业各部门统筹协作、沟通协调的能力。</w:t>
      </w:r>
    </w:p>
    <w:p>
      <w:pPr>
        <w:pStyle w:val="7"/>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合规师专业水平培训严格按照国家新职业培训工作要求，着眼于提升我国企业合规制度建设和管理水平，坚持职业发展导向，突出能力建设。依规科学设置学时和考核标准，采用理论知识和实务操作相结合的综合培训模式，注重提升学员的综合素质和实践能力。课程共计80个标准学时，具体设置如下：</w:t>
      </w:r>
    </w:p>
    <w:tbl>
      <w:tblPr>
        <w:tblStyle w:val="4"/>
        <w:tblpPr w:leftFromText="45" w:rightFromText="45" w:vertAnchor="text"/>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45"/>
        <w:gridCol w:w="70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295" w:type="dxa"/>
            <w:gridSpan w:val="2"/>
            <w:tcBorders>
              <w:top w:val="outset" w:color="auto" w:sz="6" w:space="0"/>
              <w:left w:val="outset" w:color="auto" w:sz="6" w:space="0"/>
              <w:bottom w:val="outset" w:color="auto" w:sz="6" w:space="0"/>
              <w:right w:val="outset" w:color="auto" w:sz="6" w:space="0"/>
            </w:tcBorders>
            <w:shd w:val="clear" w:color="auto" w:fill="C9C9C9"/>
            <w:vAlign w:val="center"/>
          </w:tcPr>
          <w:p>
            <w:pPr>
              <w:spacing w:line="600" w:lineRule="exact"/>
              <w:jc w:val="center"/>
              <w:rPr>
                <w:rFonts w:eastAsia="仿宋_GB2312"/>
                <w:b/>
                <w:kern w:val="0"/>
                <w:sz w:val="32"/>
                <w:szCs w:val="32"/>
              </w:rPr>
            </w:pPr>
            <w:r>
              <w:rPr>
                <w:rFonts w:hint="eastAsia" w:eastAsia="仿宋_GB2312"/>
                <w:b/>
                <w:kern w:val="0"/>
                <w:sz w:val="32"/>
                <w:szCs w:val="32"/>
              </w:rPr>
              <w:t xml:space="preserve">第一模块 </w:t>
            </w:r>
            <w:r>
              <w:rPr>
                <w:rFonts w:eastAsia="仿宋_GB2312"/>
                <w:b/>
                <w:kern w:val="0"/>
                <w:sz w:val="32"/>
                <w:szCs w:val="32"/>
              </w:rPr>
              <w:t>企业合规管理通论</w:t>
            </w:r>
            <w:r>
              <w:rPr>
                <w:rFonts w:hint="eastAsia" w:eastAsia="仿宋_GB2312"/>
                <w:b/>
                <w:kern w:val="0"/>
                <w:sz w:val="32"/>
                <w:szCs w:val="32"/>
              </w:rPr>
              <w:t>-</w:t>
            </w:r>
            <w:r>
              <w:rPr>
                <w:rFonts w:eastAsia="仿宋_GB2312"/>
                <w:b/>
                <w:kern w:val="0"/>
                <w:sz w:val="32"/>
                <w:szCs w:val="32"/>
              </w:rPr>
              <w:t>-基础知识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ascii="Times New Roman" w:hAnsi="Times New Roman" w:eastAsia="仿宋_GB2312" w:cs="Times New Roman"/>
                <w:kern w:val="0"/>
                <w:sz w:val="32"/>
                <w:szCs w:val="32"/>
              </w:rPr>
              <w:t>1</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企业合规管理概论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企业合规管理策划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企业合规义务管理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企业合规风险识别与评估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企业合规管理组织体系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企业制度文件管理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企业合规管理实施机制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企业外部相关方合规管理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9</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企业合规文化建设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企业合规管理体系评价与改进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8295" w:type="dxa"/>
            <w:gridSpan w:val="2"/>
            <w:tcBorders>
              <w:top w:val="outset" w:color="auto" w:sz="6" w:space="0"/>
              <w:left w:val="outset" w:color="auto" w:sz="6" w:space="0"/>
              <w:bottom w:val="outset" w:color="auto" w:sz="6" w:space="0"/>
              <w:right w:val="outset" w:color="auto" w:sz="6" w:space="0"/>
            </w:tcBorders>
            <w:shd w:val="clear" w:color="auto" w:fill="C9C9C9"/>
            <w:vAlign w:val="center"/>
          </w:tcPr>
          <w:p>
            <w:pPr>
              <w:spacing w:line="600" w:lineRule="exact"/>
              <w:jc w:val="center"/>
              <w:rPr>
                <w:rFonts w:eastAsia="仿宋_GB2312"/>
                <w:b/>
                <w:kern w:val="0"/>
                <w:sz w:val="32"/>
                <w:szCs w:val="32"/>
              </w:rPr>
            </w:pPr>
            <w:r>
              <w:rPr>
                <w:rFonts w:hint="eastAsia" w:eastAsia="仿宋_GB2312"/>
                <w:b/>
                <w:kern w:val="0"/>
                <w:sz w:val="32"/>
                <w:szCs w:val="32"/>
              </w:rPr>
              <w:t xml:space="preserve">第二模块 </w:t>
            </w:r>
            <w:r>
              <w:rPr>
                <w:rFonts w:eastAsia="仿宋_GB2312"/>
                <w:b/>
                <w:kern w:val="0"/>
                <w:sz w:val="32"/>
                <w:szCs w:val="32"/>
              </w:rPr>
              <w:t>企业合规管理分论</w:t>
            </w:r>
            <w:r>
              <w:rPr>
                <w:rFonts w:hint="eastAsia" w:eastAsia="仿宋_GB2312"/>
                <w:b/>
                <w:kern w:val="0"/>
                <w:sz w:val="32"/>
                <w:szCs w:val="32"/>
              </w:rPr>
              <w:t>-</w:t>
            </w:r>
            <w:r>
              <w:rPr>
                <w:rFonts w:eastAsia="仿宋_GB2312"/>
                <w:b/>
                <w:kern w:val="0"/>
                <w:sz w:val="32"/>
                <w:szCs w:val="32"/>
              </w:rPr>
              <w:t>-重点领域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反腐败与反商业贿赂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贸易合规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网络安全与数据合规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反垄断与反不正当竞争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税务合规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海外投资并购合规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17</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财务合规管理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18</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安全、环保、健康、社会责任与公司治理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19</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知识产权合规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20</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出口管制合规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1245"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21</w:t>
            </w:r>
          </w:p>
        </w:tc>
        <w:tc>
          <w:tcPr>
            <w:tcW w:w="7050" w:type="dxa"/>
            <w:tcBorders>
              <w:top w:val="outset" w:color="auto" w:sz="6" w:space="0"/>
              <w:left w:val="outset" w:color="auto" w:sz="6" w:space="0"/>
              <w:bottom w:val="outset" w:color="auto" w:sz="6" w:space="0"/>
              <w:right w:val="outset" w:color="auto" w:sz="6" w:space="0"/>
            </w:tcBorders>
            <w:vAlign w:val="center"/>
          </w:tcPr>
          <w:p>
            <w:pPr>
              <w:spacing w:line="600" w:lineRule="exact"/>
              <w:jc w:val="center"/>
              <w:rPr>
                <w:rFonts w:eastAsia="仿宋_GB2312"/>
                <w:kern w:val="0"/>
                <w:sz w:val="32"/>
                <w:szCs w:val="32"/>
              </w:rPr>
            </w:pPr>
            <w:r>
              <w:rPr>
                <w:rFonts w:eastAsia="仿宋_GB2312"/>
                <w:kern w:val="0"/>
                <w:sz w:val="32"/>
                <w:szCs w:val="32"/>
              </w:rPr>
              <w:t>我国检察部门开展的企业合规改革</w:t>
            </w:r>
          </w:p>
        </w:tc>
      </w:tr>
    </w:tbl>
    <w:p>
      <w:pPr>
        <w:pStyle w:val="7"/>
        <w:rPr>
          <w:rFonts w:hint="eastAsia" w:ascii="仿宋_GB2312" w:hAnsi="仿宋_GB2312" w:eastAsia="仿宋_GB2312" w:cs="仿宋_GB2312"/>
          <w:sz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B0604020202020204"/>
    <w:charset w:val="86"/>
    <w:family w:val="auto"/>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GRmNTI5MzAwOGFhNjQ1OTUyYzJjYWU4MDg5YjIifQ=="/>
  </w:docVars>
  <w:rsids>
    <w:rsidRoot w:val="62D536AB"/>
    <w:rsid w:val="62D536AB"/>
    <w:rsid w:val="77F07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样式2"/>
    <w:basedOn w:val="3"/>
    <w:uiPriority w:val="0"/>
    <w:pPr>
      <w:spacing w:line="360" w:lineRule="auto"/>
    </w:pPr>
    <w:rPr>
      <w:rFonts w:hint="eastAsia" w:ascii="黑体" w:hAnsi="黑体" w:eastAsia="黑体" w:cs="Times New Roman"/>
      <w:b w:val="0"/>
      <w:bCs/>
      <w:color w:val="000000"/>
      <w:sz w:val="36"/>
      <w:szCs w:val="36"/>
    </w:rPr>
  </w:style>
  <w:style w:type="paragraph" w:customStyle="1" w:styleId="7">
    <w:name w:val="标准正文"/>
    <w:basedOn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1410</Words>
  <Characters>1435</Characters>
  <Lines>0</Lines>
  <Paragraphs>0</Paragraphs>
  <TotalTime>0</TotalTime>
  <ScaleCrop>false</ScaleCrop>
  <LinksUpToDate>false</LinksUpToDate>
  <CharactersWithSpaces>1443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2023-08-07T01:24:00Z</dcterms:created>
  <dc:creator>WPS_1527732945</dc:creator>
  <cp:lastModifiedBy>WPS_1527732945</cp:lastModifiedBy>
  <dcterms:modified xsi:type="dcterms:W3CDTF">2023-08-07T01:25:09Z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B3C7D06A86584148A5A163C701B7B159_11</vt:lpwstr>
  </property>
</Properties>
</file>