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Style w:val="7"/>
          <w:rFonts w:hint="default" w:ascii="仿宋" w:hAnsi="仿宋" w:eastAsia="仿宋" w:cs="仿宋"/>
          <w:sz w:val="32"/>
          <w:szCs w:val="32"/>
        </w:rPr>
      </w:pPr>
      <w:r>
        <w:rPr>
          <w:rStyle w:val="7"/>
          <w:rFonts w:ascii="仿宋" w:hAnsi="仿宋" w:eastAsia="仿宋" w:cs="仿宋"/>
          <w:sz w:val="32"/>
          <w:szCs w:val="32"/>
        </w:rPr>
        <w:t>附件1</w:t>
      </w:r>
    </w:p>
    <w:p>
      <w:pPr>
        <w:spacing w:line="600" w:lineRule="exact"/>
        <w:jc w:val="center"/>
        <w:rPr>
          <w:rFonts w:ascii="宋体" w:hAnsi="宋体" w:eastAsia="宋体" w:cs="宋体"/>
          <w:b/>
          <w:bCs/>
          <w:sz w:val="44"/>
          <w:szCs w:val="44"/>
        </w:rPr>
      </w:pPr>
      <w:r>
        <w:rPr>
          <w:rFonts w:hint="eastAsia" w:ascii="仿宋" w:hAnsi="仿宋" w:eastAsia="仿宋" w:cs="仿宋"/>
          <w:b/>
          <w:bCs/>
          <w:sz w:val="32"/>
          <w:szCs w:val="32"/>
        </w:rPr>
        <w:t>新质生产力赋能高质量发展系列候选专题（第二批）</w:t>
      </w:r>
    </w:p>
    <w:p>
      <w:pPr>
        <w:spacing w:line="600" w:lineRule="exact"/>
        <w:ind w:firstLine="640" w:firstLineChars="200"/>
        <w:rPr>
          <w:rFonts w:ascii="Arial" w:hAnsi="Arial" w:eastAsia="仿宋" w:cs="Arial"/>
          <w:sz w:val="32"/>
          <w:szCs w:val="32"/>
        </w:rPr>
      </w:pPr>
      <w:r>
        <w:rPr>
          <w:rFonts w:hint="eastAsia" w:ascii="Arial" w:hAnsi="Arial" w:eastAsia="仿宋" w:cs="Arial"/>
          <w:sz w:val="32"/>
          <w:szCs w:val="32"/>
        </w:rPr>
        <w:t xml:space="preserve"> </w:t>
      </w:r>
    </w:p>
    <w:tbl>
      <w:tblPr>
        <w:tblStyle w:val="5"/>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542"/>
        <w:gridCol w:w="2143"/>
        <w:gridCol w:w="4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tcPr>
          <w:p>
            <w:pPr>
              <w:jc w:val="center"/>
              <w:rPr>
                <w:rFonts w:ascii="仿宋" w:hAnsi="仿宋" w:eastAsia="仿宋" w:cs="仿宋"/>
                <w:b/>
                <w:kern w:val="0"/>
                <w:sz w:val="24"/>
              </w:rPr>
            </w:pPr>
            <w:r>
              <w:rPr>
                <w:rFonts w:hint="eastAsia" w:ascii="仿宋" w:hAnsi="仿宋" w:eastAsia="仿宋" w:cs="仿宋"/>
                <w:b/>
                <w:kern w:val="0"/>
                <w:sz w:val="24"/>
              </w:rPr>
              <w:t>编号</w:t>
            </w:r>
          </w:p>
        </w:tc>
        <w:tc>
          <w:tcPr>
            <w:tcW w:w="1542" w:type="dxa"/>
          </w:tcPr>
          <w:p>
            <w:pPr>
              <w:jc w:val="center"/>
              <w:rPr>
                <w:rFonts w:ascii="仿宋" w:hAnsi="仿宋" w:eastAsia="仿宋" w:cs="仿宋"/>
                <w:b/>
                <w:kern w:val="0"/>
                <w:sz w:val="24"/>
              </w:rPr>
            </w:pPr>
            <w:r>
              <w:rPr>
                <w:rFonts w:hint="eastAsia" w:ascii="仿宋" w:hAnsi="仿宋" w:eastAsia="仿宋" w:cs="仿宋"/>
                <w:b/>
                <w:kern w:val="0"/>
                <w:sz w:val="24"/>
              </w:rPr>
              <w:t>模块</w:t>
            </w:r>
          </w:p>
        </w:tc>
        <w:tc>
          <w:tcPr>
            <w:tcW w:w="2143" w:type="dxa"/>
          </w:tcPr>
          <w:p>
            <w:pPr>
              <w:jc w:val="center"/>
              <w:rPr>
                <w:rFonts w:ascii="仿宋" w:hAnsi="仿宋" w:eastAsia="仿宋" w:cs="仿宋"/>
                <w:b/>
                <w:kern w:val="0"/>
                <w:sz w:val="24"/>
              </w:rPr>
            </w:pPr>
            <w:r>
              <w:rPr>
                <w:rFonts w:hint="eastAsia" w:ascii="仿宋" w:hAnsi="仿宋" w:eastAsia="仿宋" w:cs="仿宋"/>
                <w:b/>
                <w:kern w:val="0"/>
                <w:sz w:val="24"/>
              </w:rPr>
              <w:t>候选专题</w:t>
            </w:r>
          </w:p>
        </w:tc>
        <w:tc>
          <w:tcPr>
            <w:tcW w:w="4880" w:type="dxa"/>
          </w:tcPr>
          <w:p>
            <w:pPr>
              <w:jc w:val="center"/>
              <w:rPr>
                <w:rFonts w:ascii="仿宋" w:hAnsi="仿宋" w:eastAsia="仿宋" w:cs="仿宋"/>
                <w:b/>
                <w:kern w:val="0"/>
                <w:sz w:val="24"/>
              </w:rPr>
            </w:pPr>
            <w:r>
              <w:rPr>
                <w:rFonts w:hint="eastAsia" w:ascii="仿宋" w:hAnsi="仿宋" w:eastAsia="仿宋" w:cs="仿宋"/>
                <w:b/>
                <w:kern w:val="0"/>
                <w:sz w:val="24"/>
              </w:rPr>
              <w:t>主要学习内容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01</w:t>
            </w:r>
          </w:p>
        </w:tc>
        <w:tc>
          <w:tcPr>
            <w:tcW w:w="1542" w:type="dxa"/>
            <w:vMerge w:val="restart"/>
            <w:vAlign w:val="center"/>
          </w:tcPr>
          <w:p>
            <w:pPr>
              <w:jc w:val="center"/>
              <w:rPr>
                <w:rFonts w:hint="eastAsia" w:ascii="仿宋" w:hAnsi="仿宋" w:eastAsia="仿宋" w:cs="仿宋"/>
                <w:kern w:val="0"/>
                <w:sz w:val="24"/>
              </w:rPr>
            </w:pPr>
            <w:r>
              <w:rPr>
                <w:rFonts w:hint="eastAsia" w:ascii="仿宋" w:hAnsi="仿宋" w:eastAsia="仿宋" w:cs="仿宋"/>
                <w:kern w:val="0"/>
                <w:sz w:val="24"/>
              </w:rPr>
              <w:t>新质生产力</w:t>
            </w:r>
          </w:p>
        </w:tc>
        <w:tc>
          <w:tcPr>
            <w:tcW w:w="2143"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政策篇：中央经济工作会议精神及全国两会精神解读</w:t>
            </w:r>
          </w:p>
        </w:tc>
        <w:tc>
          <w:tcPr>
            <w:tcW w:w="4880" w:type="dxa"/>
            <w:vAlign w:val="center"/>
          </w:tcPr>
          <w:p>
            <w:pPr>
              <w:rPr>
                <w:rFonts w:hint="eastAsia" w:ascii="仿宋" w:hAnsi="仿宋" w:eastAsia="仿宋" w:cs="仿宋"/>
                <w:kern w:val="0"/>
                <w:sz w:val="24"/>
              </w:rPr>
            </w:pPr>
            <w:r>
              <w:rPr>
                <w:rFonts w:hint="eastAsia" w:ascii="仿宋" w:hAnsi="仿宋" w:eastAsia="仿宋" w:cs="仿宋"/>
                <w:kern w:val="0"/>
                <w:sz w:val="24"/>
              </w:rPr>
              <w:t>中国式现代化下科技强国战略及高质量发展时代科技创新相关政策解读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新质生产力：中国经济高质量发展新动能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hint="eastAsia" w:ascii="仿宋" w:hAnsi="仿宋" w:eastAsia="仿宋" w:cs="仿宋"/>
                <w:kern w:val="0"/>
                <w:sz w:val="24"/>
              </w:rPr>
            </w:pPr>
            <w:r>
              <w:rPr>
                <w:rFonts w:hint="eastAsia" w:ascii="仿宋" w:hAnsi="仿宋" w:eastAsia="仿宋" w:cs="仿宋"/>
                <w:kern w:val="0"/>
                <w:sz w:val="24"/>
              </w:rPr>
              <w:t>政治经济学视角下的全要素生产率研究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深刻认识和把握新质生产力的特点，加快形成新质生产力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先进制造业发展规律与促进政策研究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基于地方资源禀赋的新质产业政策规划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02</w:t>
            </w:r>
          </w:p>
        </w:tc>
        <w:tc>
          <w:tcPr>
            <w:tcW w:w="1542" w:type="dxa"/>
            <w:vMerge w:val="continue"/>
            <w:vAlign w:val="center"/>
          </w:tcPr>
          <w:p>
            <w:pPr>
              <w:jc w:val="center"/>
              <w:rPr>
                <w:rFonts w:ascii="仿宋" w:hAnsi="仿宋" w:eastAsia="仿宋" w:cs="仿宋"/>
                <w:kern w:val="0"/>
                <w:sz w:val="24"/>
              </w:rPr>
            </w:pPr>
          </w:p>
        </w:tc>
        <w:tc>
          <w:tcPr>
            <w:tcW w:w="2143"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技术篇：新质生产力的核心前沿支撑和赋能技术</w:t>
            </w: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新质生产力的要素构成与培育方向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加快发展新质生产力，以科技创新推动数字经济高质量发展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关键核心技术攻关与产业升级、技术升级、竞争方式升级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03</w:t>
            </w:r>
          </w:p>
        </w:tc>
        <w:tc>
          <w:tcPr>
            <w:tcW w:w="1542" w:type="dxa"/>
            <w:vMerge w:val="continue"/>
            <w:vAlign w:val="center"/>
          </w:tcPr>
          <w:p>
            <w:pPr>
              <w:jc w:val="center"/>
              <w:rPr>
                <w:rFonts w:ascii="仿宋" w:hAnsi="仿宋" w:eastAsia="仿宋" w:cs="仿宋"/>
                <w:kern w:val="0"/>
                <w:sz w:val="24"/>
              </w:rPr>
            </w:pPr>
          </w:p>
        </w:tc>
        <w:tc>
          <w:tcPr>
            <w:tcW w:w="2143"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产业篇：新质生产力培育与现代化产业体系建设</w:t>
            </w: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现代化产业体系：战略地位、建设内容、主要挑战与对策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新质生产力培育与现代化产业体系建设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推进科技创新和科技成果转化，建设现代化产业体系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发展战略性新兴产业和未来产业，构建现代化产业体系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聚焦新质生产力，强化招商引资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hint="eastAsia" w:ascii="仿宋" w:hAnsi="仿宋" w:eastAsia="仿宋" w:cs="仿宋"/>
                <w:kern w:val="0"/>
                <w:sz w:val="24"/>
              </w:rPr>
            </w:pPr>
            <w:r>
              <w:rPr>
                <w:rFonts w:hint="eastAsia" w:ascii="仿宋" w:hAnsi="仿宋" w:eastAsia="仿宋" w:cs="仿宋"/>
                <w:kern w:val="0"/>
                <w:sz w:val="24"/>
              </w:rPr>
              <w:br w:type="page"/>
            </w:r>
            <w:r>
              <w:rPr>
                <w:rFonts w:hint="eastAsia" w:ascii="仿宋" w:hAnsi="仿宋" w:eastAsia="仿宋" w:cs="仿宋"/>
                <w:kern w:val="0"/>
                <w:sz w:val="24"/>
              </w:rPr>
              <w:t>04</w:t>
            </w:r>
          </w:p>
        </w:tc>
        <w:tc>
          <w:tcPr>
            <w:tcW w:w="1542" w:type="dxa"/>
            <w:vMerge w:val="continue"/>
            <w:vAlign w:val="center"/>
          </w:tcPr>
          <w:p>
            <w:pPr>
              <w:jc w:val="center"/>
              <w:rPr>
                <w:rFonts w:hint="eastAsia" w:ascii="仿宋" w:hAnsi="仿宋" w:eastAsia="仿宋" w:cs="仿宋"/>
                <w:kern w:val="0"/>
                <w:sz w:val="24"/>
              </w:rPr>
            </w:pPr>
          </w:p>
        </w:tc>
        <w:tc>
          <w:tcPr>
            <w:tcW w:w="2143" w:type="dxa"/>
            <w:vMerge w:val="restart"/>
            <w:vAlign w:val="center"/>
          </w:tcPr>
          <w:p>
            <w:pPr>
              <w:jc w:val="center"/>
              <w:rPr>
                <w:rFonts w:hint="eastAsia" w:ascii="仿宋" w:hAnsi="仿宋" w:eastAsia="仿宋" w:cs="仿宋"/>
                <w:kern w:val="0"/>
                <w:sz w:val="24"/>
              </w:rPr>
            </w:pPr>
            <w:r>
              <w:rPr>
                <w:rFonts w:hint="eastAsia" w:ascii="仿宋" w:hAnsi="仿宋" w:eastAsia="仿宋" w:cs="仿宋"/>
                <w:kern w:val="0"/>
                <w:sz w:val="24"/>
              </w:rPr>
              <w:t>应用篇：发展新质生产力的产学研实践</w:t>
            </w: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新质生产力绘制绿色经济新图景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高校优势学科赋能地方发展新质生产力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vAlign w:val="center"/>
          </w:tcPr>
          <w:p>
            <w:pPr>
              <w:jc w:val="center"/>
              <w:rPr>
                <w:rFonts w:ascii="仿宋" w:hAnsi="仿宋" w:eastAsia="仿宋" w:cs="仿宋"/>
                <w:kern w:val="0"/>
                <w:sz w:val="24"/>
              </w:rPr>
            </w:pPr>
          </w:p>
        </w:tc>
        <w:tc>
          <w:tcPr>
            <w:tcW w:w="2143" w:type="dxa"/>
            <w:vMerge w:val="continue"/>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高新科技企业及独角兽企业参访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bottom w:val="single" w:color="auto" w:sz="4" w:space="0"/>
            </w:tcBorders>
            <w:vAlign w:val="center"/>
          </w:tcPr>
          <w:p>
            <w:pPr>
              <w:jc w:val="center"/>
              <w:rPr>
                <w:rFonts w:ascii="仿宋" w:hAnsi="仿宋" w:eastAsia="仿宋" w:cs="仿宋"/>
                <w:kern w:val="0"/>
                <w:sz w:val="24"/>
              </w:rPr>
            </w:pPr>
          </w:p>
        </w:tc>
        <w:tc>
          <w:tcPr>
            <w:tcW w:w="2143" w:type="dxa"/>
            <w:vMerge w:val="continue"/>
            <w:tcBorders>
              <w:bottom w:val="single" w:color="auto" w:sz="4" w:space="0"/>
            </w:tcBorders>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智能制造及高端装备领军企业调研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9" w:type="dxa"/>
            <w:vMerge w:val="restart"/>
            <w:tcBorders>
              <w:right w:val="single" w:color="auto" w:sz="4" w:space="0"/>
            </w:tcBorders>
            <w:vAlign w:val="center"/>
          </w:tcPr>
          <w:p>
            <w:pPr>
              <w:snapToGrid w:val="0"/>
              <w:jc w:val="center"/>
              <w:rPr>
                <w:rFonts w:ascii="仿宋" w:hAnsi="仿宋" w:eastAsia="仿宋" w:cs="仿宋"/>
                <w:kern w:val="0"/>
                <w:sz w:val="24"/>
              </w:rPr>
            </w:pPr>
            <w:r>
              <w:rPr>
                <w:rFonts w:hint="eastAsia" w:ascii="仿宋" w:hAnsi="仿宋" w:eastAsia="仿宋" w:cs="仿宋"/>
                <w:kern w:val="0"/>
                <w:sz w:val="24"/>
              </w:rPr>
              <w:br w:type="page"/>
            </w:r>
            <w:r>
              <w:rPr>
                <w:rFonts w:hint="eastAsia" w:ascii="仿宋" w:hAnsi="仿宋" w:eastAsia="仿宋" w:cs="仿宋"/>
                <w:kern w:val="0"/>
                <w:sz w:val="24"/>
              </w:rPr>
              <w:t>05</w:t>
            </w:r>
          </w:p>
        </w:tc>
        <w:tc>
          <w:tcPr>
            <w:tcW w:w="1542" w:type="dxa"/>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s="仿宋"/>
                <w:kern w:val="0"/>
                <w:sz w:val="24"/>
              </w:rPr>
            </w:pPr>
            <w:r>
              <w:rPr>
                <w:rFonts w:hint="eastAsia" w:ascii="仿宋" w:hAnsi="仿宋" w:eastAsia="仿宋" w:cs="仿宋"/>
                <w:kern w:val="0"/>
                <w:sz w:val="24"/>
              </w:rPr>
              <w:t>人工智能+</w:t>
            </w:r>
          </w:p>
        </w:tc>
        <w:tc>
          <w:tcPr>
            <w:tcW w:w="214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0"/>
                <w:sz w:val="24"/>
              </w:rPr>
            </w:pPr>
            <w:r>
              <w:rPr>
                <w:rFonts w:hint="eastAsia" w:ascii="仿宋" w:hAnsi="仿宋" w:eastAsia="仿宋" w:cs="仿宋"/>
                <w:kern w:val="0"/>
                <w:sz w:val="24"/>
              </w:rPr>
              <w:t>大模型时代智能生产新范式</w:t>
            </w:r>
          </w:p>
        </w:tc>
        <w:tc>
          <w:tcPr>
            <w:tcW w:w="4880" w:type="dxa"/>
            <w:tcBorders>
              <w:left w:val="single" w:color="auto" w:sz="4" w:space="0"/>
            </w:tcBorders>
            <w:vAlign w:val="center"/>
          </w:tcPr>
          <w:p>
            <w:pPr>
              <w:snapToGrid w:val="0"/>
              <w:rPr>
                <w:rFonts w:ascii="仿宋" w:hAnsi="仿宋" w:eastAsia="仿宋" w:cs="仿宋"/>
                <w:kern w:val="0"/>
                <w:sz w:val="24"/>
                <w:szCs w:val="24"/>
                <w:lang w:val="en-US" w:eastAsia="zh-CN" w:bidi="ar-SA"/>
              </w:rPr>
            </w:pPr>
            <w:r>
              <w:rPr>
                <w:rFonts w:hint="eastAsia" w:ascii="仿宋" w:hAnsi="仿宋" w:eastAsia="仿宋" w:cs="仿宋"/>
                <w:kern w:val="0"/>
                <w:sz w:val="24"/>
              </w:rPr>
              <w:t>大模型与智能生产趋势分析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9" w:type="dxa"/>
            <w:vMerge w:val="continue"/>
            <w:tcBorders>
              <w:right w:val="single" w:color="auto" w:sz="4" w:space="0"/>
            </w:tcBorders>
            <w:vAlign w:val="center"/>
          </w:tcPr>
          <w:p>
            <w:pPr>
              <w:snapToGrid w:val="0"/>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snapToGrid w:val="0"/>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0"/>
                <w:sz w:val="24"/>
              </w:rPr>
            </w:pPr>
          </w:p>
        </w:tc>
        <w:tc>
          <w:tcPr>
            <w:tcW w:w="4880" w:type="dxa"/>
            <w:tcBorders>
              <w:left w:val="single" w:color="auto" w:sz="4" w:space="0"/>
            </w:tcBorders>
            <w:vAlign w:val="center"/>
          </w:tcPr>
          <w:p>
            <w:pPr>
              <w:snapToGrid w:val="0"/>
              <w:rPr>
                <w:rFonts w:hint="eastAsia" w:ascii="仿宋" w:hAnsi="仿宋" w:eastAsia="仿宋" w:cs="仿宋"/>
                <w:kern w:val="0"/>
                <w:sz w:val="24"/>
                <w:szCs w:val="24"/>
                <w:lang w:val="en-US" w:eastAsia="zh-CN" w:bidi="ar-SA"/>
              </w:rPr>
            </w:pPr>
            <w:r>
              <w:rPr>
                <w:rFonts w:hint="eastAsia" w:ascii="仿宋" w:hAnsi="仿宋" w:eastAsia="仿宋" w:cs="仿宋"/>
                <w:kern w:val="0"/>
                <w:sz w:val="24"/>
              </w:rPr>
              <w:t>大模型驱动的智能工厂建设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19" w:type="dxa"/>
            <w:vMerge w:val="continue"/>
            <w:tcBorders>
              <w:right w:val="single" w:color="auto" w:sz="4" w:space="0"/>
            </w:tcBorders>
            <w:vAlign w:val="center"/>
          </w:tcPr>
          <w:p>
            <w:pPr>
              <w:snapToGrid w:val="0"/>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snapToGrid w:val="0"/>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0"/>
                <w:sz w:val="24"/>
              </w:rPr>
            </w:pPr>
          </w:p>
        </w:tc>
        <w:tc>
          <w:tcPr>
            <w:tcW w:w="4880" w:type="dxa"/>
            <w:tcBorders>
              <w:left w:val="single" w:color="auto" w:sz="4" w:space="0"/>
            </w:tcBorders>
            <w:vAlign w:val="center"/>
          </w:tcPr>
          <w:p>
            <w:pPr>
              <w:snapToGrid w:val="0"/>
              <w:rPr>
                <w:rFonts w:ascii="仿宋" w:hAnsi="仿宋" w:eastAsia="仿宋" w:cs="仿宋"/>
                <w:kern w:val="0"/>
                <w:sz w:val="24"/>
                <w:szCs w:val="24"/>
                <w:lang w:val="en-US" w:eastAsia="zh-CN" w:bidi="ar-SA"/>
              </w:rPr>
            </w:pPr>
            <w:r>
              <w:rPr>
                <w:rFonts w:hint="eastAsia" w:ascii="仿宋" w:hAnsi="仿宋" w:eastAsia="仿宋" w:cs="仿宋"/>
                <w:kern w:val="0"/>
                <w:sz w:val="24"/>
              </w:rPr>
              <w:t>智能制造中的人机协作与大模型应用案例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Borders>
              <w:right w:val="single" w:color="auto" w:sz="4" w:space="0"/>
            </w:tcBorders>
            <w:vAlign w:val="center"/>
          </w:tcPr>
          <w:p>
            <w:pPr>
              <w:snapToGrid w:val="0"/>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snapToGrid w:val="0"/>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kern w:val="0"/>
                <w:sz w:val="24"/>
              </w:rPr>
            </w:pPr>
          </w:p>
        </w:tc>
        <w:tc>
          <w:tcPr>
            <w:tcW w:w="4880" w:type="dxa"/>
            <w:tcBorders>
              <w:left w:val="single" w:color="auto" w:sz="4" w:space="0"/>
            </w:tcBorders>
            <w:vAlign w:val="center"/>
          </w:tcPr>
          <w:p>
            <w:pPr>
              <w:snapToGrid w:val="0"/>
              <w:rPr>
                <w:rFonts w:ascii="仿宋" w:hAnsi="仿宋" w:eastAsia="仿宋" w:cs="仿宋"/>
                <w:kern w:val="0"/>
                <w:sz w:val="24"/>
                <w:szCs w:val="24"/>
                <w:lang w:val="en-US" w:eastAsia="zh-CN" w:bidi="ar-SA"/>
              </w:rPr>
            </w:pPr>
            <w:r>
              <w:rPr>
                <w:rFonts w:hint="eastAsia" w:ascii="仿宋" w:hAnsi="仿宋" w:eastAsia="仿宋" w:cs="仿宋"/>
                <w:kern w:val="0"/>
                <w:sz w:val="24"/>
              </w:rPr>
              <w:t>大模型与产业数字化转型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19" w:type="dxa"/>
            <w:vMerge w:val="restart"/>
            <w:tcBorders>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br w:type="page"/>
            </w:r>
            <w:r>
              <w:rPr>
                <w:rFonts w:hint="eastAsia" w:ascii="仿宋" w:hAnsi="仿宋" w:eastAsia="仿宋" w:cs="仿宋"/>
                <w:kern w:val="0"/>
                <w:sz w:val="24"/>
              </w:rPr>
              <w:t>06</w:t>
            </w: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“百模大战”：国内外主流</w:t>
            </w:r>
            <w:r>
              <w:rPr>
                <w:rFonts w:ascii="仿宋" w:hAnsi="仿宋" w:eastAsia="仿宋" w:cs="仿宋"/>
                <w:kern w:val="0"/>
                <w:sz w:val="24"/>
              </w:rPr>
              <w:t>AI大模型</w:t>
            </w:r>
          </w:p>
        </w:tc>
        <w:tc>
          <w:tcPr>
            <w:tcW w:w="4880" w:type="dxa"/>
            <w:tcBorders>
              <w:left w:val="single" w:color="auto" w:sz="4" w:space="0"/>
            </w:tcBorders>
            <w:vAlign w:val="center"/>
          </w:tcPr>
          <w:p>
            <w:pPr>
              <w:rPr>
                <w:rFonts w:ascii="仿宋" w:hAnsi="仿宋" w:eastAsia="仿宋" w:cs="仿宋"/>
                <w:kern w:val="0"/>
                <w:sz w:val="24"/>
              </w:rPr>
            </w:pPr>
            <w:r>
              <w:rPr>
                <w:rFonts w:ascii="仿宋" w:hAnsi="仿宋" w:eastAsia="仿宋" w:cs="仿宋"/>
                <w:kern w:val="0"/>
                <w:sz w:val="24"/>
              </w:rPr>
              <w:t>ChatGPT原理与应用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ascii="仿宋" w:hAnsi="仿宋" w:eastAsia="仿宋" w:cs="仿宋"/>
                <w:kern w:val="0"/>
                <w:sz w:val="24"/>
              </w:rPr>
            </w:pPr>
            <w:r>
              <w:rPr>
                <w:rFonts w:hint="eastAsia" w:ascii="仿宋" w:hAnsi="仿宋" w:eastAsia="仿宋" w:cs="仿宋"/>
                <w:kern w:val="0"/>
                <w:sz w:val="24"/>
              </w:rPr>
              <w:t>从</w:t>
            </w:r>
            <w:r>
              <w:rPr>
                <w:rFonts w:ascii="仿宋" w:hAnsi="仿宋" w:eastAsia="仿宋" w:cs="仿宋"/>
                <w:kern w:val="0"/>
                <w:sz w:val="24"/>
              </w:rPr>
              <w:t>Sora展开，全面解读AI视频大模型发展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ascii="仿宋" w:hAnsi="仿宋" w:eastAsia="仿宋" w:cs="仿宋"/>
                <w:kern w:val="0"/>
                <w:sz w:val="24"/>
              </w:rPr>
            </w:pPr>
            <w:r>
              <w:rPr>
                <w:rFonts w:hint="eastAsia" w:ascii="仿宋" w:hAnsi="仿宋" w:eastAsia="仿宋" w:cs="仿宋"/>
                <w:kern w:val="0"/>
                <w:sz w:val="24"/>
              </w:rPr>
              <w:t>文心大模型核心能力及应用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ascii="仿宋" w:hAnsi="仿宋" w:eastAsia="仿宋" w:cs="仿宋"/>
                <w:kern w:val="0"/>
                <w:sz w:val="24"/>
              </w:rPr>
            </w:pPr>
            <w:r>
              <w:rPr>
                <w:rFonts w:hint="eastAsia" w:ascii="仿宋" w:hAnsi="仿宋" w:eastAsia="仿宋" w:cs="仿宋"/>
                <w:kern w:val="0"/>
                <w:sz w:val="24"/>
              </w:rPr>
              <w:t>国外主流大模型一览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ascii="仿宋" w:hAnsi="仿宋" w:eastAsia="仿宋" w:cs="仿宋"/>
                <w:kern w:val="0"/>
                <w:sz w:val="24"/>
              </w:rPr>
            </w:pPr>
            <w:r>
              <w:rPr>
                <w:rFonts w:hint="eastAsia" w:ascii="仿宋" w:hAnsi="仿宋" w:eastAsia="仿宋" w:cs="仿宋"/>
                <w:kern w:val="0"/>
                <w:sz w:val="24"/>
              </w:rPr>
              <w:t>国内主流大模型一览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tcBorders>
              <w:right w:val="single" w:color="auto" w:sz="4" w:space="0"/>
            </w:tcBorders>
            <w:vAlign w:val="center"/>
          </w:tcPr>
          <w:p>
            <w:pPr>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07</w:t>
            </w:r>
          </w:p>
        </w:tc>
        <w:tc>
          <w:tcPr>
            <w:tcW w:w="1542" w:type="dxa"/>
            <w:vMerge w:val="restart"/>
            <w:tcBorders>
              <w:top w:val="single" w:color="auto" w:sz="4" w:space="0"/>
              <w:left w:val="single" w:color="auto" w:sz="4" w:space="0"/>
              <w:right w:val="single" w:color="auto" w:sz="4" w:space="0"/>
            </w:tcBorders>
            <w:vAlign w:val="center"/>
          </w:tcPr>
          <w:p>
            <w:pPr>
              <w:jc w:val="center"/>
              <w:rPr>
                <w:rFonts w:hint="default" w:ascii="仿宋" w:hAnsi="仿宋" w:eastAsia="仿宋" w:cs="仿宋"/>
                <w:kern w:val="0"/>
                <w:sz w:val="24"/>
                <w:lang w:val="en-US" w:eastAsia="zh-CN"/>
              </w:rPr>
            </w:pPr>
          </w:p>
        </w:tc>
        <w:tc>
          <w:tcPr>
            <w:tcW w:w="21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生成式人工智能</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AIGC</w:t>
            </w:r>
            <w:r>
              <w:rPr>
                <w:rFonts w:hint="eastAsia" w:ascii="仿宋" w:hAnsi="仿宋" w:eastAsia="仿宋" w:cs="仿宋"/>
                <w:kern w:val="0"/>
                <w:sz w:val="24"/>
                <w:lang w:eastAsia="zh-CN"/>
              </w:rPr>
              <w:t>）</w:t>
            </w:r>
            <w:r>
              <w:rPr>
                <w:rFonts w:hint="eastAsia" w:ascii="仿宋" w:hAnsi="仿宋" w:eastAsia="仿宋" w:cs="仿宋"/>
                <w:kern w:val="0"/>
                <w:sz w:val="24"/>
              </w:rPr>
              <w:t>发展历程</w:t>
            </w:r>
          </w:p>
        </w:tc>
        <w:tc>
          <w:tcPr>
            <w:tcW w:w="4880" w:type="dxa"/>
            <w:tcBorders>
              <w:left w:val="single" w:color="auto" w:sz="4" w:space="0"/>
            </w:tcBorders>
            <w:vAlign w:val="center"/>
          </w:tcPr>
          <w:p>
            <w:pPr>
              <w:rPr>
                <w:rFonts w:hint="eastAsia" w:ascii="仿宋" w:hAnsi="仿宋" w:eastAsia="仿宋" w:cs="仿宋"/>
                <w:kern w:val="0"/>
                <w:sz w:val="24"/>
              </w:rPr>
            </w:pPr>
            <w:r>
              <w:rPr>
                <w:rFonts w:hint="eastAsia" w:ascii="仿宋" w:hAnsi="仿宋" w:eastAsia="仿宋" w:cs="仿宋"/>
                <w:kern w:val="0"/>
                <w:sz w:val="24"/>
              </w:rPr>
              <w:t>现代人工智能学习方法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hint="eastAsia" w:ascii="仿宋" w:hAnsi="仿宋" w:eastAsia="仿宋" w:cs="仿宋"/>
                <w:kern w:val="0"/>
                <w:sz w:val="24"/>
              </w:rPr>
            </w:pPr>
            <w:r>
              <w:rPr>
                <w:rFonts w:ascii="仿宋" w:hAnsi="仿宋" w:eastAsia="仿宋" w:cs="仿宋"/>
                <w:kern w:val="0"/>
                <w:sz w:val="24"/>
              </w:rPr>
              <w:t>AIGC的发展</w:t>
            </w:r>
            <w:r>
              <w:rPr>
                <w:rFonts w:hint="eastAsia" w:ascii="仿宋" w:hAnsi="仿宋" w:eastAsia="仿宋" w:cs="仿宋"/>
                <w:kern w:val="0"/>
                <w:sz w:val="24"/>
              </w:rPr>
              <w:t>纵览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hint="eastAsia" w:ascii="仿宋" w:hAnsi="仿宋" w:eastAsia="仿宋" w:cs="仿宋"/>
                <w:kern w:val="0"/>
                <w:sz w:val="24"/>
              </w:rPr>
            </w:pPr>
            <w:r>
              <w:rPr>
                <w:rFonts w:hint="eastAsia" w:ascii="仿宋" w:hAnsi="仿宋" w:eastAsia="仿宋" w:cs="仿宋"/>
                <w:kern w:val="0"/>
                <w:sz w:val="24"/>
              </w:rPr>
              <w:t>大语言模型发展历程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hint="eastAsia" w:ascii="仿宋" w:hAnsi="仿宋" w:eastAsia="仿宋" w:cs="仿宋"/>
                <w:kern w:val="0"/>
                <w:sz w:val="24"/>
              </w:rPr>
            </w:pPr>
            <w:r>
              <w:rPr>
                <w:rFonts w:hint="eastAsia" w:ascii="仿宋" w:hAnsi="仿宋" w:eastAsia="仿宋" w:cs="仿宋"/>
                <w:kern w:val="0"/>
                <w:sz w:val="24"/>
              </w:rPr>
              <w:t>视觉内容生成模型发展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hint="eastAsia" w:ascii="仿宋" w:hAnsi="仿宋" w:eastAsia="仿宋" w:cs="仿宋"/>
                <w:kern w:val="0"/>
                <w:sz w:val="24"/>
              </w:rPr>
            </w:pPr>
            <w:r>
              <w:rPr>
                <w:rFonts w:hint="eastAsia" w:ascii="仿宋" w:hAnsi="仿宋" w:eastAsia="仿宋" w:cs="仿宋"/>
                <w:kern w:val="0"/>
                <w:sz w:val="24"/>
              </w:rPr>
              <w:t>多模态大模型发展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tcBorders>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08</w:t>
            </w: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生成式人工智能（AIGC）应用场景与产业发展</w:t>
            </w:r>
          </w:p>
        </w:tc>
        <w:tc>
          <w:tcPr>
            <w:tcW w:w="4880" w:type="dxa"/>
            <w:tcBorders>
              <w:left w:val="single" w:color="auto" w:sz="4" w:space="0"/>
            </w:tcBorders>
            <w:vAlign w:val="center"/>
          </w:tcPr>
          <w:p>
            <w:pPr>
              <w:rPr>
                <w:rFonts w:ascii="仿宋" w:hAnsi="仿宋" w:eastAsia="仿宋" w:cs="仿宋"/>
                <w:kern w:val="0"/>
                <w:sz w:val="24"/>
              </w:rPr>
            </w:pPr>
            <w:r>
              <w:rPr>
                <w:rFonts w:hint="eastAsia" w:ascii="仿宋" w:hAnsi="仿宋" w:eastAsia="仿宋" w:cs="仿宋"/>
                <w:kern w:val="0"/>
                <w:sz w:val="24"/>
              </w:rPr>
              <w:t>AIGC时代的媒体及娱乐行业内容创作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hint="eastAsia" w:ascii="仿宋" w:hAnsi="仿宋" w:eastAsia="仿宋" w:cs="仿宋"/>
                <w:kern w:val="0"/>
                <w:sz w:val="24"/>
                <w:lang w:eastAsia="zh-CN"/>
              </w:rPr>
            </w:pPr>
            <w:r>
              <w:rPr>
                <w:rFonts w:hint="eastAsia" w:ascii="仿宋" w:hAnsi="仿宋" w:eastAsia="仿宋" w:cs="仿宋"/>
                <w:kern w:val="0"/>
                <w:sz w:val="24"/>
              </w:rPr>
              <w:t>AIGC在医疗行业的应用与前景</w:t>
            </w:r>
            <w:r>
              <w:rPr>
                <w:rFonts w:hint="eastAsia" w:ascii="仿宋" w:hAnsi="仿宋" w:eastAsia="仿宋" w:cs="仿宋"/>
                <w:kern w:val="0"/>
                <w:sz w:val="24"/>
                <w:lang w:eastAsia="zh-CN"/>
              </w:rPr>
              <w:t>——</w:t>
            </w:r>
            <w:r>
              <w:rPr>
                <w:rFonts w:hint="eastAsia" w:ascii="仿宋" w:hAnsi="仿宋" w:eastAsia="仿宋" w:cs="仿宋"/>
                <w:kern w:val="0"/>
                <w:sz w:val="24"/>
              </w:rPr>
              <w:t>辅助诊断、研发、治疗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ascii="仿宋" w:hAnsi="仿宋" w:eastAsia="仿宋" w:cs="仿宋"/>
                <w:kern w:val="0"/>
                <w:sz w:val="24"/>
              </w:rPr>
            </w:pPr>
            <w:r>
              <w:rPr>
                <w:rFonts w:hint="eastAsia" w:ascii="仿宋" w:hAnsi="仿宋" w:eastAsia="仿宋" w:cs="仿宋"/>
                <w:kern w:val="0"/>
                <w:sz w:val="24"/>
              </w:rPr>
              <w:t>AIGC与智慧城市建设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ascii="仿宋" w:hAnsi="仿宋" w:eastAsia="仿宋" w:cs="仿宋"/>
                <w:kern w:val="0"/>
                <w:sz w:val="24"/>
              </w:rPr>
            </w:pPr>
            <w:r>
              <w:rPr>
                <w:rFonts w:hint="eastAsia" w:ascii="仿宋" w:hAnsi="仿宋" w:eastAsia="仿宋" w:cs="仿宋"/>
                <w:kern w:val="0"/>
                <w:sz w:val="24"/>
              </w:rPr>
              <w:t>AIGC赋能教学多元化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Borders>
              <w:right w:val="single" w:color="auto" w:sz="4" w:space="0"/>
            </w:tcBorders>
            <w:vAlign w:val="center"/>
          </w:tcPr>
          <w:p>
            <w:pPr>
              <w:jc w:val="center"/>
              <w:rPr>
                <w:rFonts w:ascii="仿宋" w:hAnsi="仿宋" w:eastAsia="仿宋" w:cs="仿宋"/>
                <w:kern w:val="0"/>
                <w:sz w:val="24"/>
              </w:rPr>
            </w:pPr>
          </w:p>
        </w:tc>
        <w:tc>
          <w:tcPr>
            <w:tcW w:w="1542"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880" w:type="dxa"/>
            <w:tcBorders>
              <w:left w:val="single" w:color="auto" w:sz="4" w:space="0"/>
            </w:tcBorders>
            <w:vAlign w:val="center"/>
          </w:tcPr>
          <w:p>
            <w:pPr>
              <w:rPr>
                <w:rFonts w:ascii="仿宋" w:hAnsi="仿宋" w:eastAsia="仿宋" w:cs="仿宋"/>
                <w:kern w:val="0"/>
                <w:sz w:val="24"/>
              </w:rPr>
            </w:pPr>
            <w:r>
              <w:rPr>
                <w:rFonts w:hint="eastAsia" w:ascii="仿宋" w:hAnsi="仿宋" w:eastAsia="仿宋" w:cs="仿宋"/>
                <w:kern w:val="0"/>
                <w:sz w:val="24"/>
              </w:rPr>
              <w:t>AIGC伦理道德与法律法规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br w:type="page"/>
            </w:r>
            <w:r>
              <w:rPr>
                <w:rFonts w:hint="eastAsia" w:ascii="仿宋" w:hAnsi="仿宋" w:eastAsia="仿宋" w:cs="仿宋"/>
                <w:kern w:val="0"/>
                <w:sz w:val="24"/>
              </w:rPr>
              <w:t>09</w:t>
            </w:r>
          </w:p>
        </w:tc>
        <w:tc>
          <w:tcPr>
            <w:tcW w:w="1542" w:type="dxa"/>
            <w:vMerge w:val="restart"/>
            <w:tcBorders>
              <w:top w:val="single" w:color="auto" w:sz="4" w:space="0"/>
              <w:bottom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数据要素×</w:t>
            </w:r>
          </w:p>
        </w:tc>
        <w:tc>
          <w:tcPr>
            <w:tcW w:w="2143" w:type="dxa"/>
            <w:vMerge w:val="restart"/>
            <w:tcBorders>
              <w:top w:val="single" w:color="auto" w:sz="4" w:space="0"/>
              <w:bottom w:val="single" w:color="auto" w:sz="4" w:space="0"/>
            </w:tcBorders>
            <w:vAlign w:val="center"/>
          </w:tcPr>
          <w:p>
            <w:pPr>
              <w:pStyle w:val="2"/>
              <w:shd w:val="clear" w:color="auto" w:fill="FFFFFF"/>
              <w:spacing w:beforeAutospacing="0" w:after="210" w:afterAutospacing="0"/>
              <w:jc w:val="center"/>
              <w:rPr>
                <w:rFonts w:ascii="仿宋" w:hAnsi="仿宋" w:eastAsia="仿宋" w:cs="仿宋"/>
                <w:sz w:val="24"/>
              </w:rPr>
            </w:pPr>
            <w:r>
              <w:rPr>
                <w:rFonts w:ascii="仿宋" w:hAnsi="仿宋" w:eastAsia="仿宋" w:cs="仿宋"/>
                <w:b w:val="0"/>
                <w:bCs w:val="0"/>
                <w:kern w:val="0"/>
                <w:sz w:val="24"/>
                <w:szCs w:val="24"/>
              </w:rPr>
              <w:t>数据要素赋能新质生产力</w:t>
            </w:r>
          </w:p>
        </w:tc>
        <w:tc>
          <w:tcPr>
            <w:tcW w:w="4880" w:type="dxa"/>
            <w:vAlign w:val="center"/>
          </w:tcPr>
          <w:p>
            <w:pPr>
              <w:rPr>
                <w:rFonts w:ascii="仿宋" w:hAnsi="仿宋" w:eastAsia="仿宋" w:cs="仿宋"/>
                <w:bCs/>
                <w:kern w:val="0"/>
                <w:sz w:val="24"/>
              </w:rPr>
            </w:pPr>
            <w:r>
              <w:rPr>
                <w:rFonts w:hint="eastAsia" w:ascii="仿宋" w:hAnsi="仿宋" w:eastAsia="仿宋" w:cs="仿宋"/>
                <w:bCs/>
                <w:kern w:val="0"/>
                <w:sz w:val="24"/>
              </w:rPr>
              <w:t>数据要素赋能新质生产力的内涵与理论机制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bCs/>
                <w:kern w:val="0"/>
                <w:sz w:val="24"/>
              </w:rPr>
            </w:pPr>
            <w:r>
              <w:rPr>
                <w:rFonts w:hint="eastAsia" w:ascii="仿宋" w:hAnsi="仿宋" w:eastAsia="仿宋" w:cs="仿宋"/>
                <w:bCs/>
                <w:kern w:val="0"/>
                <w:sz w:val="24"/>
              </w:rPr>
              <w:t>数据要素赋能新质生产力的现实挑战与实践路径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bCs/>
                <w:kern w:val="0"/>
                <w:sz w:val="24"/>
              </w:rPr>
            </w:pPr>
            <w:r>
              <w:rPr>
                <w:rFonts w:hint="eastAsia" w:ascii="仿宋" w:hAnsi="仿宋" w:eastAsia="仿宋" w:cs="仿宋"/>
                <w:kern w:val="0"/>
                <w:sz w:val="24"/>
              </w:rPr>
              <w:t>数据要素国家相关政策、标准解读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4880" w:type="dxa"/>
            <w:vAlign w:val="center"/>
          </w:tcPr>
          <w:p>
            <w:pPr>
              <w:rPr>
                <w:rFonts w:ascii="仿宋" w:hAnsi="仿宋" w:eastAsia="仿宋" w:cs="仿宋"/>
                <w:bCs/>
                <w:kern w:val="0"/>
                <w:sz w:val="24"/>
              </w:rPr>
            </w:pPr>
            <w:r>
              <w:rPr>
                <w:rFonts w:hint="eastAsia" w:ascii="仿宋" w:hAnsi="仿宋" w:eastAsia="仿宋" w:cs="仿宋"/>
                <w:bCs/>
                <w:kern w:val="0"/>
                <w:sz w:val="24"/>
              </w:rPr>
              <w:t>数据要素的发展现状与未来前景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10</w:t>
            </w: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restart"/>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数据要素、数据资产与价值创造</w:t>
            </w: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数据要素概述、数据要素市场理论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数据合规体系建设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企业数据资产增值路径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ascii="仿宋" w:hAnsi="仿宋" w:eastAsia="仿宋" w:cs="仿宋"/>
                <w:kern w:val="0"/>
                <w:sz w:val="24"/>
              </w:rPr>
            </w:pPr>
            <w:r>
              <w:rPr>
                <w:rFonts w:hint="eastAsia" w:ascii="仿宋" w:hAnsi="仿宋" w:eastAsia="仿宋" w:cs="仿宋"/>
                <w:kern w:val="0"/>
                <w:sz w:val="24"/>
              </w:rPr>
              <w:t>数据资产审计及入表内控体系标准化建设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11</w:t>
            </w: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restart"/>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数据要素治理与合规指引</w:t>
            </w:r>
          </w:p>
        </w:tc>
        <w:tc>
          <w:tcPr>
            <w:tcW w:w="4880" w:type="dxa"/>
            <w:vAlign w:val="center"/>
          </w:tcPr>
          <w:p>
            <w:pPr>
              <w:rPr>
                <w:rFonts w:ascii="仿宋" w:hAnsi="仿宋" w:eastAsia="仿宋" w:cs="仿宋"/>
                <w:bCs/>
                <w:kern w:val="0"/>
                <w:sz w:val="24"/>
              </w:rPr>
            </w:pPr>
            <w:r>
              <w:rPr>
                <w:rFonts w:hint="eastAsia" w:ascii="仿宋" w:hAnsi="仿宋" w:eastAsia="仿宋" w:cs="仿宋"/>
                <w:bCs/>
                <w:kern w:val="0"/>
                <w:sz w:val="24"/>
              </w:rPr>
              <w:t>数据交易市场体系及交易流通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ascii="仿宋" w:hAnsi="仿宋" w:eastAsia="仿宋" w:cs="仿宋"/>
                <w:bCs/>
                <w:kern w:val="0"/>
                <w:sz w:val="24"/>
              </w:rPr>
            </w:pPr>
            <w:r>
              <w:rPr>
                <w:rFonts w:hint="eastAsia" w:ascii="仿宋" w:hAnsi="仿宋" w:eastAsia="仿宋" w:cs="仿宋"/>
                <w:bCs/>
                <w:kern w:val="0"/>
                <w:sz w:val="24"/>
              </w:rPr>
              <w:t>数据价值评估方法、流程及价值评估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ascii="仿宋" w:hAnsi="仿宋" w:eastAsia="仿宋" w:cs="仿宋"/>
                <w:bCs/>
                <w:kern w:val="0"/>
                <w:sz w:val="24"/>
              </w:rPr>
            </w:pPr>
            <w:r>
              <w:rPr>
                <w:rFonts w:hint="eastAsia" w:ascii="仿宋" w:hAnsi="仿宋" w:eastAsia="仿宋" w:cs="仿宋"/>
                <w:bCs/>
                <w:kern w:val="0"/>
                <w:sz w:val="24"/>
              </w:rPr>
              <w:t>数据资产管理全链路解析及运营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rPr>
            </w:pPr>
            <w:r>
              <w:rPr>
                <w:rFonts w:hint="eastAsia" w:ascii="仿宋" w:hAnsi="仿宋" w:eastAsia="仿宋" w:cs="仿宋"/>
                <w:bCs/>
                <w:kern w:val="0"/>
                <w:sz w:val="24"/>
              </w:rPr>
              <w:t>数据分级分类与流转应用实践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12</w:t>
            </w: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restart"/>
            <w:tcBorders>
              <w:top w:val="single" w:color="auto" w:sz="4" w:space="0"/>
              <w:bottom w:val="single" w:color="auto" w:sz="4" w:space="0"/>
            </w:tcBorders>
            <w:vAlign w:val="center"/>
          </w:tcPr>
          <w:p>
            <w:pPr>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数据要素激活行业创新发展</w:t>
            </w:r>
          </w:p>
        </w:tc>
        <w:tc>
          <w:tcPr>
            <w:tcW w:w="4880" w:type="dxa"/>
            <w:vAlign w:val="center"/>
          </w:tcPr>
          <w:p>
            <w:pPr>
              <w:rPr>
                <w:rFonts w:ascii="仿宋" w:hAnsi="仿宋" w:eastAsia="仿宋" w:cs="仿宋"/>
                <w:bCs/>
                <w:kern w:val="0"/>
                <w:sz w:val="24"/>
              </w:rPr>
            </w:pPr>
            <w:r>
              <w:rPr>
                <w:rFonts w:hint="eastAsia" w:ascii="仿宋" w:hAnsi="仿宋" w:eastAsia="仿宋" w:cs="仿宋"/>
                <w:bCs/>
                <w:kern w:val="0"/>
                <w:sz w:val="24"/>
              </w:rPr>
              <w:t>政务数据场景化应用与公共数据授权运营及其案例分析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ascii="仿宋" w:hAnsi="仿宋" w:eastAsia="仿宋" w:cs="仿宋"/>
                <w:bCs/>
                <w:kern w:val="0"/>
                <w:sz w:val="24"/>
              </w:rPr>
            </w:pPr>
            <w:r>
              <w:rPr>
                <w:rFonts w:hint="eastAsia" w:ascii="仿宋" w:hAnsi="仿宋" w:eastAsia="仿宋" w:cs="仿宋"/>
                <w:bCs/>
                <w:kern w:val="0"/>
                <w:sz w:val="24"/>
              </w:rPr>
              <w:t>电信行业数据要素市场机遇与发力策略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rPr>
            </w:pPr>
            <w:r>
              <w:rPr>
                <w:rFonts w:hint="eastAsia" w:ascii="仿宋" w:hAnsi="仿宋" w:eastAsia="仿宋" w:cs="仿宋"/>
                <w:bCs/>
                <w:kern w:val="0"/>
                <w:sz w:val="24"/>
              </w:rPr>
              <w:t>数据要素高质量流通</w:t>
            </w:r>
            <w:r>
              <w:rPr>
                <w:rFonts w:ascii="仿宋" w:hAnsi="仿宋" w:eastAsia="仿宋" w:cs="仿宋"/>
                <w:bCs/>
                <w:kern w:val="0"/>
                <w:sz w:val="24"/>
              </w:rPr>
              <w:t>,促进新型工业化提档加速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ascii="仿宋" w:hAnsi="仿宋" w:eastAsia="仿宋" w:cs="仿宋"/>
                <w:bCs/>
                <w:kern w:val="0"/>
                <w:sz w:val="24"/>
              </w:rPr>
            </w:pPr>
            <w:r>
              <w:rPr>
                <w:rFonts w:hint="eastAsia" w:ascii="仿宋" w:hAnsi="仿宋" w:eastAsia="仿宋" w:cs="仿宋"/>
                <w:bCs/>
                <w:kern w:val="0"/>
                <w:sz w:val="24"/>
              </w:rPr>
              <w:t>新形势下数据安全现状挑战与应对策略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13</w:t>
            </w:r>
          </w:p>
        </w:tc>
        <w:tc>
          <w:tcPr>
            <w:tcW w:w="1542" w:type="dxa"/>
            <w:vMerge w:val="restart"/>
            <w:tcBorders>
              <w:top w:val="single" w:color="auto" w:sz="4" w:space="0"/>
              <w:bottom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新时期企业管理</w:t>
            </w:r>
          </w:p>
        </w:tc>
        <w:tc>
          <w:tcPr>
            <w:tcW w:w="2143" w:type="dxa"/>
            <w:vMerge w:val="restart"/>
            <w:tcBorders>
              <w:top w:val="single" w:color="auto" w:sz="4" w:space="0"/>
              <w:bottom w:val="single" w:color="auto" w:sz="4" w:space="0"/>
            </w:tcBorders>
            <w:vAlign w:val="center"/>
          </w:tcPr>
          <w:p>
            <w:pPr>
              <w:pStyle w:val="3"/>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szCs w:val="24"/>
                <w:lang w:val="en-US" w:eastAsia="zh-CN" w:bidi="ar-SA"/>
                <w14:textFill>
                  <w14:solidFill>
                    <w14:schemeClr w14:val="tx1"/>
                  </w14:solidFill>
                </w14:textFill>
              </w:rPr>
              <w:t>国有企业数字化、智能化转型战略管理</w:t>
            </w:r>
          </w:p>
        </w:tc>
        <w:tc>
          <w:tcPr>
            <w:tcW w:w="4880" w:type="dxa"/>
            <w:vAlign w:val="center"/>
          </w:tcPr>
          <w:p>
            <w:pPr>
              <w:rPr>
                <w:rFonts w:ascii="仿宋" w:hAnsi="仿宋" w:eastAsia="仿宋" w:cs="仿宋"/>
                <w:bCs/>
                <w:kern w:val="0"/>
                <w:sz w:val="24"/>
              </w:rPr>
            </w:pPr>
            <w:r>
              <w:rPr>
                <w:rFonts w:hint="eastAsia" w:ascii="仿宋" w:hAnsi="仿宋" w:eastAsia="仿宋" w:cs="仿宋"/>
                <w:bCs/>
                <w:kern w:val="0"/>
                <w:sz w:val="24"/>
                <w:lang w:val="en-US" w:eastAsia="zh-CN"/>
              </w:rPr>
              <w:t>企业战略转型与创新发展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hint="eastAsia"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hint="eastAsia"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p>
        </w:tc>
        <w:tc>
          <w:tcPr>
            <w:tcW w:w="4880" w:type="dxa"/>
            <w:vAlign w:val="center"/>
          </w:tcPr>
          <w:p>
            <w:pPr>
              <w:rPr>
                <w:rFonts w:hint="eastAsia" w:ascii="仿宋" w:hAnsi="仿宋" w:eastAsia="仿宋" w:cs="仿宋"/>
                <w:bCs/>
                <w:kern w:val="0"/>
                <w:sz w:val="24"/>
              </w:rPr>
            </w:pPr>
            <w:r>
              <w:rPr>
                <w:rFonts w:hint="eastAsia" w:ascii="仿宋" w:hAnsi="仿宋" w:eastAsia="仿宋" w:cs="仿宋"/>
                <w:bCs/>
                <w:kern w:val="0"/>
                <w:sz w:val="24"/>
                <w:lang w:val="en-US" w:eastAsia="zh-CN"/>
              </w:rPr>
              <w:t>企业经营战略规划新趋势、新方法和新工具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9" w:type="dxa"/>
            <w:vMerge w:val="continue"/>
            <w:vAlign w:val="center"/>
          </w:tcPr>
          <w:p>
            <w:pPr>
              <w:jc w:val="center"/>
              <w:rPr>
                <w:rFonts w:hint="eastAsia"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hint="eastAsia"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p>
        </w:tc>
        <w:tc>
          <w:tcPr>
            <w:tcW w:w="4880" w:type="dxa"/>
            <w:vAlign w:val="center"/>
          </w:tcPr>
          <w:p>
            <w:pPr>
              <w:rPr>
                <w:rFonts w:hint="eastAsia" w:ascii="仿宋" w:hAnsi="仿宋" w:eastAsia="仿宋" w:cs="仿宋"/>
                <w:bCs/>
                <w:kern w:val="0"/>
                <w:sz w:val="24"/>
              </w:rPr>
            </w:pPr>
            <w:r>
              <w:rPr>
                <w:rFonts w:hint="eastAsia" w:ascii="仿宋" w:hAnsi="仿宋" w:eastAsia="仿宋" w:cs="仿宋"/>
                <w:bCs/>
                <w:kern w:val="0"/>
                <w:sz w:val="24"/>
              </w:rPr>
              <w:t>人工智能和大数据背景下的创新思维与改革发展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rPr>
            </w:pPr>
            <w:r>
              <w:rPr>
                <w:rFonts w:hint="eastAsia" w:ascii="仿宋" w:hAnsi="仿宋" w:eastAsia="仿宋" w:cs="仿宋"/>
                <w:bCs/>
                <w:kern w:val="0"/>
                <w:sz w:val="24"/>
                <w:lang w:val="en-US" w:eastAsia="zh-CN"/>
              </w:rPr>
              <w:t>数字浪潮与智能经济背景下企业高质量发展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rPr>
            </w:pPr>
            <w:r>
              <w:rPr>
                <w:rFonts w:hint="eastAsia" w:ascii="仿宋" w:hAnsi="仿宋" w:eastAsia="仿宋" w:cs="仿宋"/>
                <w:bCs/>
                <w:kern w:val="0"/>
                <w:sz w:val="24"/>
              </w:rPr>
              <w:t>企业党建和企业生产经营融合，引领推动高质量发展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default" w:ascii="仿宋" w:hAnsi="仿宋" w:eastAsia="仿宋" w:cs="仿宋"/>
                <w:bCs/>
                <w:kern w:val="0"/>
                <w:sz w:val="24"/>
                <w:lang w:val="en-US" w:eastAsia="zh-CN"/>
              </w:rPr>
            </w:pPr>
            <w:r>
              <w:rPr>
                <w:rFonts w:hint="eastAsia" w:ascii="仿宋" w:hAnsi="仿宋" w:eastAsia="仿宋" w:cs="仿宋"/>
                <w:bCs/>
                <w:kern w:val="0"/>
                <w:sz w:val="24"/>
              </w:rPr>
              <w:t>国有企业</w:t>
            </w:r>
            <w:r>
              <w:rPr>
                <w:rFonts w:hint="eastAsia" w:ascii="仿宋" w:hAnsi="仿宋" w:eastAsia="仿宋" w:cs="仿宋"/>
                <w:bCs/>
                <w:kern w:val="0"/>
                <w:sz w:val="24"/>
                <w:lang w:val="en-US" w:eastAsia="zh-CN"/>
              </w:rPr>
              <w:t>人机协同工作模式下的革新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rPr>
            </w:pPr>
            <w:r>
              <w:rPr>
                <w:rFonts w:hint="eastAsia" w:ascii="仿宋" w:hAnsi="仿宋" w:eastAsia="仿宋" w:cs="仿宋"/>
                <w:bCs/>
                <w:kern w:val="0"/>
                <w:sz w:val="24"/>
              </w:rPr>
              <w:t>国有企业国际品牌营销战略分析与落地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14</w:t>
            </w: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restart"/>
            <w:tcBorders>
              <w:top w:val="single" w:color="auto" w:sz="4" w:space="0"/>
              <w:bottom w:val="single" w:color="auto" w:sz="4" w:space="0"/>
            </w:tcBorders>
            <w:vAlign w:val="center"/>
          </w:tcPr>
          <w:p>
            <w:pPr>
              <w:spacing w:line="40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国有企业经营管理能力提升</w:t>
            </w:r>
          </w:p>
        </w:tc>
        <w:tc>
          <w:tcPr>
            <w:tcW w:w="4880" w:type="dxa"/>
            <w:vAlign w:val="center"/>
          </w:tcPr>
          <w:p>
            <w:pPr>
              <w:rPr>
                <w:rFonts w:hint="eastAsia" w:ascii="仿宋" w:hAnsi="仿宋" w:eastAsia="仿宋" w:cs="仿宋"/>
                <w:bCs/>
                <w:kern w:val="0"/>
                <w:sz w:val="24"/>
                <w:szCs w:val="24"/>
              </w:rPr>
            </w:pPr>
            <w:r>
              <w:rPr>
                <w:rFonts w:hint="eastAsia" w:ascii="仿宋" w:hAnsi="仿宋" w:eastAsia="仿宋" w:cs="仿宋"/>
                <w:bCs/>
                <w:kern w:val="0"/>
                <w:sz w:val="24"/>
                <w:szCs w:val="24"/>
              </w:rPr>
              <w:t>新时期建立健全国有资本经营预算制度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hint="eastAsia" w:ascii="仿宋" w:hAnsi="仿宋" w:eastAsia="仿宋" w:cs="仿宋"/>
                <w:kern w:val="0"/>
                <w:sz w:val="24"/>
                <w:lang w:val="en-US" w:eastAsia="zh-CN"/>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spacing w:line="400" w:lineRule="exact"/>
              <w:jc w:val="center"/>
              <w:rPr>
                <w:rFonts w:hint="eastAsia"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szCs w:val="24"/>
                <w:highlight w:val="yellow"/>
              </w:rPr>
            </w:pPr>
            <w:r>
              <w:rPr>
                <w:rFonts w:hint="eastAsia" w:ascii="仿宋" w:hAnsi="仿宋" w:eastAsia="仿宋" w:cs="仿宋"/>
                <w:sz w:val="24"/>
                <w:szCs w:val="24"/>
                <w:highlight w:val="none"/>
                <w:lang w:val="en-US" w:eastAsia="zh-CN"/>
              </w:rPr>
              <w:t>数字经济时代企业管理、组织管理的变革与创新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hint="eastAsia" w:ascii="仿宋" w:hAnsi="仿宋" w:eastAsia="仿宋" w:cs="仿宋"/>
                <w:kern w:val="0"/>
                <w:sz w:val="24"/>
                <w:lang w:val="en-US" w:eastAsia="zh-CN"/>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spacing w:line="400" w:lineRule="exact"/>
              <w:jc w:val="center"/>
              <w:rPr>
                <w:rFonts w:hint="eastAsia"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国企中高层管理者理念变革与创新思维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hint="eastAsia" w:ascii="仿宋" w:hAnsi="仿宋" w:eastAsia="仿宋" w:cs="仿宋"/>
                <w:kern w:val="0"/>
                <w:sz w:val="24"/>
                <w:lang w:val="en-US" w:eastAsia="zh-CN"/>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spacing w:line="400" w:lineRule="exact"/>
              <w:jc w:val="center"/>
              <w:rPr>
                <w:rFonts w:hint="eastAsia"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数字经济时代的营销创新与落地实践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hint="eastAsia" w:ascii="仿宋" w:hAnsi="仿宋" w:eastAsia="仿宋" w:cs="仿宋"/>
                <w:kern w:val="0"/>
                <w:sz w:val="24"/>
                <w:lang w:val="en-US" w:eastAsia="zh-CN"/>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spacing w:line="400" w:lineRule="exact"/>
              <w:jc w:val="center"/>
              <w:rPr>
                <w:rFonts w:hint="eastAsia"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国际视野把握国企改革的本质和内在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hint="eastAsia" w:ascii="仿宋" w:hAnsi="仿宋" w:eastAsia="仿宋" w:cs="仿宋"/>
                <w:kern w:val="0"/>
                <w:sz w:val="24"/>
                <w:lang w:val="en-US" w:eastAsia="zh-CN"/>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spacing w:line="400" w:lineRule="exact"/>
              <w:jc w:val="center"/>
              <w:rPr>
                <w:rFonts w:hint="eastAsia"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szCs w:val="24"/>
              </w:rPr>
            </w:pPr>
            <w:r>
              <w:rPr>
                <w:rFonts w:hint="eastAsia" w:ascii="仿宋" w:hAnsi="仿宋" w:eastAsia="仿宋" w:cs="仿宋"/>
                <w:bCs/>
                <w:kern w:val="0"/>
                <w:sz w:val="24"/>
              </w:rPr>
              <w:t>国有企业高层次国际人才引进的思路与对策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br w:type="page"/>
            </w:r>
            <w:r>
              <w:rPr>
                <w:rFonts w:hint="eastAsia" w:ascii="仿宋" w:hAnsi="仿宋" w:eastAsia="仿宋" w:cs="仿宋"/>
                <w:kern w:val="0"/>
                <w:sz w:val="24"/>
              </w:rPr>
              <w:t>15</w:t>
            </w: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restart"/>
            <w:tcBorders>
              <w:top w:val="single" w:color="auto" w:sz="4" w:space="0"/>
              <w:bottom w:val="single" w:color="auto" w:sz="4" w:space="0"/>
            </w:tcBorders>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企业资本运营与投融资管理</w:t>
            </w:r>
          </w:p>
        </w:tc>
        <w:tc>
          <w:tcPr>
            <w:tcW w:w="4880" w:type="dxa"/>
            <w:vAlign w:val="center"/>
          </w:tcPr>
          <w:p>
            <w:pPr>
              <w:rPr>
                <w:rFonts w:hint="eastAsia" w:ascii="仿宋" w:hAnsi="仿宋" w:eastAsia="仿宋" w:cs="仿宋"/>
                <w:bCs/>
                <w:kern w:val="0"/>
                <w:sz w:val="24"/>
                <w:szCs w:val="24"/>
              </w:rPr>
            </w:pPr>
            <w:r>
              <w:rPr>
                <w:rFonts w:hint="eastAsia" w:ascii="仿宋" w:hAnsi="仿宋" w:eastAsia="仿宋" w:cs="仿宋"/>
                <w:bCs/>
                <w:kern w:val="0"/>
                <w:sz w:val="24"/>
                <w:szCs w:val="24"/>
              </w:rPr>
              <w:t>全球化情境下中国企业国际化经营问题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spacing w:line="400" w:lineRule="exact"/>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szCs w:val="24"/>
              </w:rPr>
            </w:pPr>
            <w:r>
              <w:rPr>
                <w:rFonts w:hint="eastAsia" w:ascii="仿宋" w:hAnsi="仿宋" w:eastAsia="仿宋" w:cs="仿宋"/>
                <w:bCs/>
                <w:kern w:val="0"/>
                <w:sz w:val="24"/>
                <w:szCs w:val="24"/>
              </w:rPr>
              <w:t>金融创新驱动企业资本运营与投融资管理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spacing w:line="400" w:lineRule="exact"/>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szCs w:val="24"/>
              </w:rPr>
            </w:pPr>
            <w:r>
              <w:rPr>
                <w:rFonts w:hint="eastAsia" w:ascii="仿宋" w:hAnsi="仿宋" w:eastAsia="仿宋" w:cs="仿宋"/>
                <w:bCs/>
                <w:kern w:val="0"/>
                <w:sz w:val="24"/>
                <w:szCs w:val="24"/>
              </w:rPr>
              <w:t>推动互联网、大数据、人工智能的深度融合，做大做强数字经济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Merge w:val="continue"/>
            <w:vAlign w:val="center"/>
          </w:tcPr>
          <w:p>
            <w:pPr>
              <w:jc w:val="center"/>
              <w:rPr>
                <w:rFonts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spacing w:line="400" w:lineRule="exact"/>
              <w:jc w:val="center"/>
              <w:rPr>
                <w:rFonts w:ascii="仿宋" w:hAnsi="仿宋" w:eastAsia="仿宋" w:cs="仿宋"/>
                <w:color w:val="000000" w:themeColor="text1"/>
                <w:kern w:val="0"/>
                <w:sz w:val="24"/>
                <w14:textFill>
                  <w14:solidFill>
                    <w14:schemeClr w14:val="tx1"/>
                  </w14:solidFill>
                </w14:textFill>
              </w:rPr>
            </w:pPr>
          </w:p>
        </w:tc>
        <w:tc>
          <w:tcPr>
            <w:tcW w:w="4880" w:type="dxa"/>
            <w:vAlign w:val="center"/>
          </w:tcPr>
          <w:p>
            <w:pPr>
              <w:pStyle w:val="3"/>
              <w:rPr>
                <w:rFonts w:hint="eastAsia" w:ascii="仿宋" w:hAnsi="仿宋" w:eastAsia="仿宋" w:cs="仿宋"/>
                <w:bCs/>
                <w:kern w:val="0"/>
                <w:sz w:val="24"/>
                <w:szCs w:val="24"/>
              </w:rPr>
            </w:pPr>
            <w:r>
              <w:rPr>
                <w:rFonts w:hint="eastAsia" w:ascii="仿宋" w:hAnsi="仿宋" w:eastAsia="仿宋" w:cs="仿宋"/>
                <w:sz w:val="24"/>
                <w:szCs w:val="24"/>
                <w:lang w:val="en-US" w:eastAsia="zh-CN"/>
              </w:rPr>
              <w:t>投融资战略与企业成长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16</w:t>
            </w: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restart"/>
            <w:tcBorders>
              <w:top w:val="single" w:color="auto" w:sz="4" w:space="0"/>
              <w:bottom w:val="single" w:color="auto" w:sz="4" w:space="0"/>
            </w:tcBorders>
            <w:vAlign w:val="center"/>
          </w:tcPr>
          <w:p>
            <w:pPr>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企业数字化</w:t>
            </w:r>
            <w:r>
              <w:rPr>
                <w:rFonts w:hint="eastAsia" w:ascii="仿宋" w:hAnsi="仿宋" w:eastAsia="仿宋" w:cs="仿宋"/>
                <w:bCs/>
                <w:color w:val="000000" w:themeColor="text1"/>
                <w:kern w:val="0"/>
                <w:sz w:val="24"/>
                <w:lang w:eastAsia="zh-CN"/>
                <w14:textFill>
                  <w14:solidFill>
                    <w14:schemeClr w14:val="tx1"/>
                  </w14:solidFill>
                </w14:textFill>
              </w:rPr>
              <w:t>、</w:t>
            </w:r>
            <w:r>
              <w:rPr>
                <w:rFonts w:hint="eastAsia" w:ascii="仿宋" w:hAnsi="仿宋" w:eastAsia="仿宋" w:cs="仿宋"/>
                <w:bCs/>
                <w:color w:val="000000" w:themeColor="text1"/>
                <w:kern w:val="0"/>
                <w:sz w:val="24"/>
                <w14:textFill>
                  <w14:solidFill>
                    <w14:schemeClr w14:val="tx1"/>
                  </w14:solidFill>
                </w14:textFill>
              </w:rPr>
              <w:t>智能化转型实战</w:t>
            </w:r>
          </w:p>
        </w:tc>
        <w:tc>
          <w:tcPr>
            <w:tcW w:w="4880" w:type="dxa"/>
            <w:vAlign w:val="center"/>
          </w:tcPr>
          <w:p>
            <w:pPr>
              <w:rPr>
                <w:rFonts w:hint="eastAsia" w:ascii="仿宋" w:hAnsi="仿宋" w:eastAsia="仿宋" w:cs="仿宋"/>
                <w:bCs/>
                <w:kern w:val="0"/>
                <w:sz w:val="24"/>
                <w:szCs w:val="24"/>
              </w:rPr>
            </w:pPr>
            <w:r>
              <w:rPr>
                <w:rFonts w:hint="eastAsia" w:ascii="仿宋" w:hAnsi="仿宋" w:eastAsia="仿宋" w:cs="仿宋"/>
                <w:bCs/>
                <w:kern w:val="0"/>
                <w:sz w:val="24"/>
                <w:szCs w:val="24"/>
              </w:rPr>
              <w:t>“互联网+”时代的商业模式升级与科技创新视角下的数字化转型逻辑与路径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vAlign w:val="center"/>
          </w:tcPr>
          <w:p>
            <w:pPr>
              <w:jc w:val="center"/>
              <w:rPr>
                <w:rFonts w:hint="eastAsia" w:ascii="仿宋" w:hAnsi="仿宋" w:eastAsia="仿宋" w:cs="仿宋"/>
                <w:kern w:val="0"/>
                <w:sz w:val="24"/>
              </w:rPr>
            </w:pPr>
          </w:p>
        </w:tc>
        <w:tc>
          <w:tcPr>
            <w:tcW w:w="1542" w:type="dxa"/>
            <w:vMerge w:val="continue"/>
            <w:tcBorders>
              <w:top w:val="single" w:color="auto" w:sz="4" w:space="0"/>
              <w:bottom w:val="single" w:color="auto" w:sz="4" w:space="0"/>
            </w:tcBorders>
            <w:vAlign w:val="center"/>
          </w:tcPr>
          <w:p>
            <w:pPr>
              <w:jc w:val="center"/>
              <w:rPr>
                <w:rFonts w:ascii="仿宋" w:hAnsi="仿宋" w:eastAsia="仿宋" w:cs="仿宋"/>
                <w:kern w:val="0"/>
                <w:sz w:val="24"/>
              </w:rPr>
            </w:pPr>
          </w:p>
        </w:tc>
        <w:tc>
          <w:tcPr>
            <w:tcW w:w="2143" w:type="dxa"/>
            <w:vMerge w:val="continue"/>
            <w:tcBorders>
              <w:top w:val="single" w:color="auto" w:sz="4" w:space="0"/>
              <w:bottom w:val="single" w:color="auto" w:sz="4" w:space="0"/>
            </w:tcBorders>
            <w:vAlign w:val="center"/>
          </w:tcPr>
          <w:p>
            <w:pPr>
              <w:jc w:val="center"/>
              <w:rPr>
                <w:rFonts w:hint="eastAsia" w:ascii="仿宋" w:hAnsi="仿宋" w:eastAsia="仿宋" w:cs="仿宋"/>
                <w:bCs/>
                <w:color w:val="000000" w:themeColor="text1"/>
                <w:kern w:val="0"/>
                <w:sz w:val="24"/>
                <w14:textFill>
                  <w14:solidFill>
                    <w14:schemeClr w14:val="tx1"/>
                  </w14:solidFill>
                </w14:textFill>
              </w:rPr>
            </w:pPr>
          </w:p>
        </w:tc>
        <w:tc>
          <w:tcPr>
            <w:tcW w:w="4880" w:type="dxa"/>
            <w:vAlign w:val="center"/>
          </w:tcPr>
          <w:p>
            <w:pPr>
              <w:rPr>
                <w:rFonts w:hint="eastAsia" w:ascii="仿宋" w:hAnsi="仿宋" w:eastAsia="仿宋" w:cs="仿宋"/>
                <w:bCs/>
                <w:kern w:val="0"/>
                <w:sz w:val="24"/>
                <w:szCs w:val="24"/>
              </w:rPr>
            </w:pPr>
            <w:r>
              <w:rPr>
                <w:rFonts w:hint="eastAsia" w:ascii="仿宋" w:hAnsi="仿宋" w:eastAsia="仿宋" w:cs="仿宋"/>
                <w:sz w:val="24"/>
                <w:szCs w:val="24"/>
                <w:lang w:val="en-US" w:eastAsia="zh-CN"/>
              </w:rPr>
              <w:t>传统企业数字化转型的逻辑重构与实施路径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Pr>
          <w:p>
            <w:pPr>
              <w:rPr>
                <w:rFonts w:ascii="仿宋" w:hAnsi="仿宋" w:eastAsia="仿宋" w:cs="仿宋"/>
                <w:kern w:val="0"/>
                <w:sz w:val="24"/>
              </w:rPr>
            </w:pPr>
          </w:p>
        </w:tc>
        <w:tc>
          <w:tcPr>
            <w:tcW w:w="1542" w:type="dxa"/>
            <w:vMerge w:val="continue"/>
            <w:tcBorders>
              <w:top w:val="single" w:color="auto" w:sz="4" w:space="0"/>
              <w:bottom w:val="single" w:color="auto" w:sz="4" w:space="0"/>
            </w:tcBorders>
          </w:tcPr>
          <w:p>
            <w:pPr>
              <w:rPr>
                <w:rFonts w:ascii="仿宋" w:hAnsi="仿宋" w:eastAsia="仿宋" w:cs="仿宋"/>
                <w:kern w:val="0"/>
                <w:sz w:val="24"/>
              </w:rPr>
            </w:pPr>
          </w:p>
        </w:tc>
        <w:tc>
          <w:tcPr>
            <w:tcW w:w="2143" w:type="dxa"/>
            <w:vMerge w:val="continue"/>
            <w:tcBorders>
              <w:top w:val="single" w:color="auto" w:sz="4" w:space="0"/>
              <w:bottom w:val="single" w:color="auto" w:sz="4" w:space="0"/>
            </w:tcBorders>
          </w:tcPr>
          <w:p>
            <w:pPr>
              <w:spacing w:line="400" w:lineRule="exact"/>
              <w:rPr>
                <w:rFonts w:ascii="仿宋" w:hAnsi="仿宋" w:eastAsia="仿宋" w:cs="仿宋"/>
                <w:kern w:val="0"/>
                <w:sz w:val="24"/>
              </w:rPr>
            </w:pPr>
          </w:p>
        </w:tc>
        <w:tc>
          <w:tcPr>
            <w:tcW w:w="4880" w:type="dxa"/>
            <w:vAlign w:val="center"/>
          </w:tcPr>
          <w:p>
            <w:pPr>
              <w:pStyle w:val="3"/>
              <w:numPr>
                <w:ilvl w:val="0"/>
                <w:numId w:val="0"/>
              </w:numPr>
              <w:rPr>
                <w:rFonts w:hint="eastAsia" w:ascii="仿宋" w:hAnsi="仿宋" w:eastAsia="仿宋" w:cs="仿宋"/>
                <w:bCs/>
                <w:kern w:val="0"/>
                <w:sz w:val="24"/>
                <w:szCs w:val="24"/>
              </w:rPr>
            </w:pPr>
            <w:r>
              <w:rPr>
                <w:rFonts w:hint="eastAsia" w:ascii="仿宋" w:hAnsi="仿宋" w:eastAsia="仿宋" w:cs="仿宋"/>
                <w:sz w:val="24"/>
                <w:szCs w:val="24"/>
                <w:lang w:val="en-US" w:eastAsia="zh-CN"/>
              </w:rPr>
              <w:t>工业大数据-从智能制造到工业互联网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Pr>
          <w:p>
            <w:pPr>
              <w:rPr>
                <w:rFonts w:ascii="仿宋" w:hAnsi="仿宋" w:eastAsia="仿宋" w:cs="仿宋"/>
                <w:kern w:val="0"/>
                <w:sz w:val="24"/>
              </w:rPr>
            </w:pPr>
          </w:p>
        </w:tc>
        <w:tc>
          <w:tcPr>
            <w:tcW w:w="1542" w:type="dxa"/>
            <w:vMerge w:val="continue"/>
            <w:tcBorders>
              <w:top w:val="single" w:color="auto" w:sz="4" w:space="0"/>
              <w:bottom w:val="single" w:color="auto" w:sz="4" w:space="0"/>
            </w:tcBorders>
          </w:tcPr>
          <w:p>
            <w:pPr>
              <w:rPr>
                <w:rFonts w:ascii="仿宋" w:hAnsi="仿宋" w:eastAsia="仿宋" w:cs="仿宋"/>
                <w:kern w:val="0"/>
                <w:sz w:val="24"/>
              </w:rPr>
            </w:pPr>
          </w:p>
        </w:tc>
        <w:tc>
          <w:tcPr>
            <w:tcW w:w="2143" w:type="dxa"/>
            <w:vMerge w:val="continue"/>
            <w:tcBorders>
              <w:top w:val="single" w:color="auto" w:sz="4" w:space="0"/>
              <w:bottom w:val="single" w:color="auto" w:sz="4" w:space="0"/>
            </w:tcBorders>
          </w:tcPr>
          <w:p>
            <w:pPr>
              <w:spacing w:line="400" w:lineRule="exact"/>
              <w:rPr>
                <w:rFonts w:ascii="仿宋" w:hAnsi="仿宋" w:eastAsia="仿宋" w:cs="仿宋"/>
                <w:kern w:val="0"/>
                <w:sz w:val="24"/>
              </w:rPr>
            </w:pPr>
          </w:p>
        </w:tc>
        <w:tc>
          <w:tcPr>
            <w:tcW w:w="4880" w:type="dxa"/>
            <w:vAlign w:val="center"/>
          </w:tcPr>
          <w:p>
            <w:pPr>
              <w:pStyle w:val="3"/>
              <w:numPr>
                <w:ilvl w:val="0"/>
                <w:numId w:val="0"/>
              </w:numPr>
              <w:rPr>
                <w:rFonts w:hint="eastAsia" w:ascii="仿宋" w:hAnsi="仿宋" w:eastAsia="仿宋" w:cs="仿宋"/>
                <w:bCs/>
                <w:kern w:val="0"/>
                <w:sz w:val="24"/>
                <w:szCs w:val="24"/>
              </w:rPr>
            </w:pPr>
            <w:r>
              <w:rPr>
                <w:rFonts w:hint="eastAsia" w:ascii="仿宋" w:hAnsi="仿宋" w:eastAsia="仿宋" w:cs="仿宋"/>
                <w:sz w:val="24"/>
                <w:szCs w:val="24"/>
                <w:lang w:val="en-US" w:eastAsia="zh-CN"/>
              </w:rPr>
              <w:t>智慧工厂：工业企业MES自动化与生产控制优化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Pr>
          <w:p>
            <w:pPr>
              <w:rPr>
                <w:rFonts w:ascii="仿宋" w:hAnsi="仿宋" w:eastAsia="仿宋" w:cs="仿宋"/>
                <w:kern w:val="0"/>
                <w:sz w:val="24"/>
              </w:rPr>
            </w:pPr>
          </w:p>
        </w:tc>
        <w:tc>
          <w:tcPr>
            <w:tcW w:w="1542" w:type="dxa"/>
            <w:vMerge w:val="continue"/>
            <w:tcBorders>
              <w:top w:val="single" w:color="auto" w:sz="4" w:space="0"/>
              <w:bottom w:val="single" w:color="auto" w:sz="4" w:space="0"/>
            </w:tcBorders>
          </w:tcPr>
          <w:p>
            <w:pPr>
              <w:rPr>
                <w:rFonts w:ascii="仿宋" w:hAnsi="仿宋" w:eastAsia="仿宋" w:cs="仿宋"/>
                <w:kern w:val="0"/>
                <w:sz w:val="24"/>
              </w:rPr>
            </w:pPr>
          </w:p>
        </w:tc>
        <w:tc>
          <w:tcPr>
            <w:tcW w:w="2143" w:type="dxa"/>
            <w:vMerge w:val="continue"/>
            <w:tcBorders>
              <w:top w:val="single" w:color="auto" w:sz="4" w:space="0"/>
              <w:bottom w:val="single" w:color="auto" w:sz="4" w:space="0"/>
            </w:tcBorders>
          </w:tcPr>
          <w:p>
            <w:pPr>
              <w:spacing w:line="400" w:lineRule="exact"/>
              <w:rPr>
                <w:rFonts w:ascii="仿宋" w:hAnsi="仿宋" w:eastAsia="仿宋" w:cs="仿宋"/>
                <w:kern w:val="0"/>
                <w:sz w:val="24"/>
              </w:rPr>
            </w:pPr>
          </w:p>
        </w:tc>
        <w:tc>
          <w:tcPr>
            <w:tcW w:w="4880" w:type="dxa"/>
            <w:vAlign w:val="center"/>
          </w:tcPr>
          <w:p>
            <w:pPr>
              <w:rPr>
                <w:rFonts w:hint="eastAsia" w:ascii="仿宋" w:hAnsi="仿宋" w:eastAsia="仿宋" w:cs="仿宋"/>
                <w:bCs/>
                <w:kern w:val="0"/>
                <w:sz w:val="24"/>
                <w:szCs w:val="24"/>
              </w:rPr>
            </w:pPr>
            <w:r>
              <w:rPr>
                <w:rFonts w:hint="eastAsia" w:ascii="仿宋" w:hAnsi="仿宋" w:eastAsia="仿宋" w:cs="仿宋"/>
                <w:bCs/>
                <w:kern w:val="0"/>
                <w:sz w:val="24"/>
                <w:szCs w:val="24"/>
              </w:rPr>
              <w:t>数据治理平台</w:t>
            </w:r>
            <w:r>
              <w:rPr>
                <w:rFonts w:hint="eastAsia" w:ascii="仿宋" w:hAnsi="仿宋" w:eastAsia="仿宋" w:cs="仿宋"/>
                <w:bCs/>
                <w:kern w:val="0"/>
                <w:sz w:val="24"/>
                <w:szCs w:val="24"/>
                <w:lang w:val="en-US" w:eastAsia="zh-CN"/>
              </w:rPr>
              <w:t>与</w:t>
            </w:r>
            <w:r>
              <w:rPr>
                <w:rFonts w:hint="eastAsia" w:ascii="仿宋" w:hAnsi="仿宋" w:eastAsia="仿宋" w:cs="仿宋"/>
                <w:bCs/>
                <w:kern w:val="0"/>
                <w:sz w:val="24"/>
                <w:szCs w:val="24"/>
              </w:rPr>
              <w:t>数字化转型的服务模式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9" w:type="dxa"/>
            <w:vMerge w:val="continue"/>
          </w:tcPr>
          <w:p>
            <w:pPr>
              <w:rPr>
                <w:rFonts w:ascii="仿宋" w:hAnsi="仿宋" w:eastAsia="仿宋" w:cs="仿宋"/>
                <w:kern w:val="0"/>
                <w:sz w:val="24"/>
              </w:rPr>
            </w:pPr>
          </w:p>
        </w:tc>
        <w:tc>
          <w:tcPr>
            <w:tcW w:w="1542" w:type="dxa"/>
            <w:vMerge w:val="continue"/>
            <w:tcBorders>
              <w:top w:val="single" w:color="auto" w:sz="4" w:space="0"/>
              <w:bottom w:val="single" w:color="auto" w:sz="4" w:space="0"/>
            </w:tcBorders>
          </w:tcPr>
          <w:p>
            <w:pPr>
              <w:rPr>
                <w:rFonts w:ascii="仿宋" w:hAnsi="仿宋" w:eastAsia="仿宋" w:cs="仿宋"/>
                <w:kern w:val="0"/>
                <w:sz w:val="24"/>
              </w:rPr>
            </w:pPr>
          </w:p>
        </w:tc>
        <w:tc>
          <w:tcPr>
            <w:tcW w:w="2143" w:type="dxa"/>
            <w:vMerge w:val="continue"/>
            <w:tcBorders>
              <w:top w:val="single" w:color="auto" w:sz="4" w:space="0"/>
              <w:bottom w:val="single" w:color="auto" w:sz="4" w:space="0"/>
            </w:tcBorders>
          </w:tcPr>
          <w:p>
            <w:pPr>
              <w:spacing w:line="400" w:lineRule="exact"/>
              <w:rPr>
                <w:rFonts w:ascii="仿宋" w:hAnsi="仿宋" w:eastAsia="仿宋" w:cs="仿宋"/>
                <w:kern w:val="0"/>
                <w:sz w:val="24"/>
              </w:rPr>
            </w:pPr>
          </w:p>
        </w:tc>
        <w:tc>
          <w:tcPr>
            <w:tcW w:w="4880" w:type="dxa"/>
            <w:vAlign w:val="center"/>
          </w:tcPr>
          <w:p>
            <w:pPr>
              <w:pStyle w:val="3"/>
              <w:numPr>
                <w:ilvl w:val="0"/>
                <w:numId w:val="0"/>
              </w:numPr>
              <w:rPr>
                <w:rFonts w:hint="eastAsia" w:ascii="仿宋" w:hAnsi="仿宋" w:eastAsia="仿宋" w:cs="仿宋"/>
                <w:bCs/>
                <w:kern w:val="0"/>
                <w:sz w:val="24"/>
                <w:szCs w:val="24"/>
                <w:highlight w:val="yellow"/>
              </w:rPr>
            </w:pPr>
            <w:r>
              <w:rPr>
                <w:rFonts w:hint="eastAsia" w:ascii="仿宋" w:hAnsi="仿宋" w:eastAsia="仿宋" w:cs="仿宋"/>
                <w:sz w:val="24"/>
                <w:szCs w:val="24"/>
                <w:lang w:val="en-US" w:eastAsia="zh-CN"/>
              </w:rPr>
              <w:t>数字治理的效度、温度与尺度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yZWE0M2NjZDVjMWJmZDkyMzI4YzE1NDkzZDRlMGEifQ=="/>
  </w:docVars>
  <w:rsids>
    <w:rsidRoot w:val="139738F5"/>
    <w:rsid w:val="0C80452A"/>
    <w:rsid w:val="13973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long_text1"/>
    <w:basedOn w:val="6"/>
    <w:autoRedefine/>
    <w:qFormat/>
    <w:uiPriority w:val="0"/>
    <w:rPr>
      <w:sz w:val="13"/>
      <w:szCs w:val="13"/>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2024-04-09T07:32:00Z</dcterms:created>
  <dc:creator>北</dc:creator>
  <cp:lastModifiedBy>北</cp:lastModifiedBy>
  <dcterms:modified xsi:type="dcterms:W3CDTF">2024-04-09T07:34:50Z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B4E987FAE0FF48E59C398A1957DC4F84_11</vt:lpwstr>
  </property>
</Properties>
</file>