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5E5C3" w14:textId="77777777" w:rsidR="00312DE9" w:rsidRDefault="00312DE9" w:rsidP="00312DE9">
      <w:pPr>
        <w:pStyle w:val="ae"/>
        <w:widowControl/>
        <w:spacing w:beforeAutospacing="0" w:afterAutospacing="0" w:line="540" w:lineRule="atLeast"/>
        <w:rPr>
          <w:rFonts w:ascii="仿宋" w:eastAsia="仿宋" w:hAnsi="仿宋" w:cs="仿宋" w:hint="eastAsia"/>
          <w:b/>
          <w:bCs/>
          <w:color w:val="282828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282828"/>
          <w:sz w:val="32"/>
          <w:szCs w:val="32"/>
        </w:rPr>
        <w:t>附件</w:t>
      </w:r>
    </w:p>
    <w:p w14:paraId="1FCC1F7E" w14:textId="77777777" w:rsidR="00312DE9" w:rsidRDefault="00312DE9" w:rsidP="00312DE9">
      <w:pPr>
        <w:pStyle w:val="ae"/>
        <w:widowControl/>
        <w:spacing w:beforeAutospacing="0" w:afterAutospacing="0" w:line="540" w:lineRule="atLeast"/>
        <w:jc w:val="center"/>
        <w:rPr>
          <w:rFonts w:ascii="宋体" w:eastAsia="宋体" w:hAnsi="宋体" w:cs="宋体" w:hint="eastAsia"/>
        </w:rPr>
      </w:pPr>
      <w:r>
        <w:rPr>
          <w:rFonts w:ascii="仿宋" w:eastAsia="仿宋" w:hAnsi="仿宋" w:cs="仿宋" w:hint="eastAsia"/>
          <w:b/>
          <w:bCs/>
          <w:color w:val="282828"/>
          <w:sz w:val="32"/>
          <w:szCs w:val="32"/>
        </w:rPr>
        <w:t>《企业数智化服务平台建设与运营服务要求》《智能体信任评估实施指南》两项团体标准立项计划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745"/>
        <w:gridCol w:w="3244"/>
        <w:gridCol w:w="5110"/>
        <w:gridCol w:w="1415"/>
        <w:gridCol w:w="2513"/>
      </w:tblGrid>
      <w:tr w:rsidR="00312DE9" w14:paraId="4BE183EE" w14:textId="77777777" w:rsidTr="009F5087">
        <w:tc>
          <w:tcPr>
            <w:tcW w:w="1745" w:type="dxa"/>
            <w:vAlign w:val="center"/>
          </w:tcPr>
          <w:p w14:paraId="74E0DA58" w14:textId="77777777" w:rsidR="00312DE9" w:rsidRDefault="00312DE9" w:rsidP="009F5087">
            <w:pPr>
              <w:pStyle w:val="ae"/>
              <w:widowControl/>
              <w:spacing w:beforeAutospacing="0" w:afterAutospacing="0" w:line="360" w:lineRule="auto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/>
                <w:b/>
                <w:bCs/>
                <w:szCs w:val="24"/>
              </w:rPr>
              <w:t>项目计划号</w:t>
            </w:r>
          </w:p>
        </w:tc>
        <w:tc>
          <w:tcPr>
            <w:tcW w:w="3244" w:type="dxa"/>
            <w:vAlign w:val="center"/>
          </w:tcPr>
          <w:p w14:paraId="71255D4C" w14:textId="77777777" w:rsidR="00312DE9" w:rsidRDefault="00312DE9" w:rsidP="009F5087">
            <w:pPr>
              <w:pStyle w:val="ae"/>
              <w:widowControl/>
              <w:spacing w:beforeAutospacing="0" w:afterAutospacing="0" w:line="360" w:lineRule="auto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/>
                <w:b/>
                <w:bCs/>
                <w:szCs w:val="24"/>
              </w:rPr>
              <w:t>标准名称</w:t>
            </w:r>
          </w:p>
        </w:tc>
        <w:tc>
          <w:tcPr>
            <w:tcW w:w="5110" w:type="dxa"/>
            <w:vAlign w:val="center"/>
          </w:tcPr>
          <w:p w14:paraId="41792C36" w14:textId="77777777" w:rsidR="00312DE9" w:rsidRDefault="00312DE9" w:rsidP="009F5087">
            <w:pPr>
              <w:pStyle w:val="ae"/>
              <w:widowControl/>
              <w:spacing w:beforeAutospacing="0" w:afterAutospacing="0" w:line="360" w:lineRule="auto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/>
                <w:b/>
                <w:bCs/>
                <w:szCs w:val="24"/>
              </w:rPr>
              <w:t>主要内容</w:t>
            </w:r>
          </w:p>
        </w:tc>
        <w:tc>
          <w:tcPr>
            <w:tcW w:w="1415" w:type="dxa"/>
            <w:vAlign w:val="center"/>
          </w:tcPr>
          <w:p w14:paraId="60A1FA58" w14:textId="77777777" w:rsidR="00312DE9" w:rsidRDefault="00312DE9" w:rsidP="009F5087">
            <w:pPr>
              <w:pStyle w:val="ae"/>
              <w:widowControl/>
              <w:spacing w:beforeAutospacing="0" w:afterAutospacing="0" w:line="360" w:lineRule="auto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/>
                <w:b/>
                <w:bCs/>
                <w:szCs w:val="24"/>
              </w:rPr>
              <w:t>计划完成时间</w:t>
            </w:r>
          </w:p>
        </w:tc>
        <w:tc>
          <w:tcPr>
            <w:tcW w:w="2513" w:type="dxa"/>
            <w:vAlign w:val="center"/>
          </w:tcPr>
          <w:p w14:paraId="410DDCEF" w14:textId="77777777" w:rsidR="00312DE9" w:rsidRDefault="00312DE9" w:rsidP="009F5087">
            <w:pPr>
              <w:pStyle w:val="ae"/>
              <w:widowControl/>
              <w:spacing w:beforeAutospacing="0" w:afterAutospacing="0" w:line="360" w:lineRule="auto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/>
                <w:b/>
                <w:bCs/>
                <w:szCs w:val="24"/>
              </w:rPr>
              <w:t>牵头单位</w:t>
            </w:r>
          </w:p>
        </w:tc>
      </w:tr>
      <w:tr w:rsidR="00312DE9" w14:paraId="15B9D559" w14:textId="77777777" w:rsidTr="009F5087">
        <w:trPr>
          <w:trHeight w:val="1421"/>
        </w:trPr>
        <w:tc>
          <w:tcPr>
            <w:tcW w:w="1745" w:type="dxa"/>
            <w:vAlign w:val="center"/>
          </w:tcPr>
          <w:p w14:paraId="258F29C3" w14:textId="77777777" w:rsidR="00312DE9" w:rsidRDefault="00312DE9" w:rsidP="009F5087">
            <w:pPr>
              <w:pStyle w:val="ae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126-T/ISC-25</w:t>
            </w:r>
          </w:p>
        </w:tc>
        <w:tc>
          <w:tcPr>
            <w:tcW w:w="3244" w:type="dxa"/>
            <w:vAlign w:val="center"/>
          </w:tcPr>
          <w:p w14:paraId="0041F1B0" w14:textId="77777777" w:rsidR="00312DE9" w:rsidRDefault="00312DE9" w:rsidP="009F5087">
            <w:pPr>
              <w:pStyle w:val="ae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282828"/>
                <w:szCs w:val="24"/>
              </w:rPr>
              <w:t>《企业数智化服务平台建设与运营服务要求》</w:t>
            </w:r>
          </w:p>
        </w:tc>
        <w:tc>
          <w:tcPr>
            <w:tcW w:w="5110" w:type="dxa"/>
          </w:tcPr>
          <w:p w14:paraId="7CE1AA3A" w14:textId="77777777" w:rsidR="00312DE9" w:rsidRDefault="00312DE9" w:rsidP="009F5087">
            <w:pPr>
              <w:spacing w:line="400" w:lineRule="exact"/>
              <w:rPr>
                <w:rFonts w:ascii="仿宋" w:eastAsia="仿宋" w:hAnsi="仿宋" w:cs="仿宋" w:hint="eastAsia"/>
                <w:color w:val="282828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282828"/>
                <w:sz w:val="24"/>
                <w:szCs w:val="24"/>
                <w:lang w:bidi="ar"/>
              </w:rPr>
              <w:t>本文件涵盖了</w:t>
            </w:r>
            <w:proofErr w:type="gramStart"/>
            <w:r>
              <w:rPr>
                <w:rFonts w:ascii="仿宋" w:eastAsia="仿宋" w:hAnsi="仿宋" w:cs="仿宋" w:hint="eastAsia"/>
                <w:color w:val="282828"/>
                <w:sz w:val="24"/>
                <w:szCs w:val="24"/>
                <w:lang w:bidi="ar"/>
              </w:rPr>
              <w:t>企业数智化</w:t>
            </w:r>
            <w:proofErr w:type="gramEnd"/>
            <w:r>
              <w:rPr>
                <w:rFonts w:ascii="仿宋" w:eastAsia="仿宋" w:hAnsi="仿宋" w:cs="仿宋" w:hint="eastAsia"/>
                <w:color w:val="282828"/>
                <w:sz w:val="24"/>
                <w:szCs w:val="24"/>
                <w:lang w:bidi="ar"/>
              </w:rPr>
              <w:t>服务平台的整体框架、关键能力指标、运营服务体系，从平台技术能力和运营服务</w:t>
            </w:r>
            <w:proofErr w:type="gramStart"/>
            <w:r>
              <w:rPr>
                <w:rFonts w:ascii="仿宋" w:eastAsia="仿宋" w:hAnsi="仿宋" w:cs="仿宋" w:hint="eastAsia"/>
                <w:color w:val="282828"/>
                <w:sz w:val="24"/>
                <w:szCs w:val="24"/>
                <w:lang w:bidi="ar"/>
              </w:rPr>
              <w:t>体系双维度规范</w:t>
            </w:r>
            <w:proofErr w:type="gramEnd"/>
            <w:r>
              <w:rPr>
                <w:rFonts w:ascii="仿宋" w:eastAsia="仿宋" w:hAnsi="仿宋" w:cs="仿宋" w:hint="eastAsia"/>
                <w:color w:val="282828"/>
                <w:sz w:val="24"/>
                <w:szCs w:val="24"/>
                <w:lang w:bidi="ar"/>
              </w:rPr>
              <w:t>相关能力。</w:t>
            </w:r>
          </w:p>
          <w:p w14:paraId="784C633C" w14:textId="77777777" w:rsidR="00312DE9" w:rsidRDefault="00312DE9" w:rsidP="009F5087">
            <w:pPr>
              <w:spacing w:line="400" w:lineRule="exact"/>
              <w:rPr>
                <w:rFonts w:ascii="仿宋" w:eastAsia="仿宋" w:hAnsi="仿宋" w:cs="仿宋" w:hint="eastAsia"/>
                <w:color w:val="282828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282828"/>
                <w:sz w:val="24"/>
                <w:szCs w:val="24"/>
                <w:lang w:bidi="ar"/>
              </w:rPr>
              <w:t>本文件适用于（1）面向相关服务提供单位与地方主管单位，提供</w:t>
            </w:r>
            <w:proofErr w:type="gramStart"/>
            <w:r>
              <w:rPr>
                <w:rFonts w:ascii="仿宋" w:eastAsia="仿宋" w:hAnsi="仿宋" w:cs="仿宋" w:hint="eastAsia"/>
                <w:color w:val="282828"/>
                <w:sz w:val="24"/>
                <w:szCs w:val="24"/>
                <w:lang w:bidi="ar"/>
              </w:rPr>
              <w:t>企业数智化</w:t>
            </w:r>
            <w:proofErr w:type="gramEnd"/>
            <w:r>
              <w:rPr>
                <w:rFonts w:ascii="仿宋" w:eastAsia="仿宋" w:hAnsi="仿宋" w:cs="仿宋" w:hint="eastAsia"/>
                <w:color w:val="282828"/>
                <w:sz w:val="24"/>
                <w:szCs w:val="24"/>
                <w:lang w:bidi="ar"/>
              </w:rPr>
              <w:t>服务平台建设与运营服务框架内容；（2）为第三方评测机构及用户提供</w:t>
            </w:r>
            <w:proofErr w:type="gramStart"/>
            <w:r>
              <w:rPr>
                <w:rFonts w:ascii="仿宋" w:eastAsia="仿宋" w:hAnsi="仿宋" w:cs="仿宋" w:hint="eastAsia"/>
                <w:color w:val="282828"/>
                <w:sz w:val="24"/>
                <w:szCs w:val="24"/>
                <w:lang w:bidi="ar"/>
              </w:rPr>
              <w:t>企业数智化</w:t>
            </w:r>
            <w:proofErr w:type="gramEnd"/>
            <w:r>
              <w:rPr>
                <w:rFonts w:ascii="仿宋" w:eastAsia="仿宋" w:hAnsi="仿宋" w:cs="仿宋" w:hint="eastAsia"/>
                <w:color w:val="282828"/>
                <w:sz w:val="24"/>
                <w:szCs w:val="24"/>
                <w:lang w:bidi="ar"/>
              </w:rPr>
              <w:t>服务平台建设与运营服务要求评价框架。</w:t>
            </w:r>
          </w:p>
        </w:tc>
        <w:tc>
          <w:tcPr>
            <w:tcW w:w="1415" w:type="dxa"/>
            <w:vAlign w:val="center"/>
          </w:tcPr>
          <w:p w14:paraId="2588003E" w14:textId="77777777" w:rsidR="00312DE9" w:rsidRDefault="00312DE9" w:rsidP="009F5087">
            <w:pPr>
              <w:pStyle w:val="ae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2026.4</w:t>
            </w:r>
          </w:p>
        </w:tc>
        <w:tc>
          <w:tcPr>
            <w:tcW w:w="2513" w:type="dxa"/>
            <w:vAlign w:val="center"/>
          </w:tcPr>
          <w:p w14:paraId="6D7DFF58" w14:textId="77777777" w:rsidR="00312DE9" w:rsidRDefault="00312DE9" w:rsidP="009F5087">
            <w:pPr>
              <w:pStyle w:val="ae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282828"/>
                <w:szCs w:val="24"/>
              </w:rPr>
              <w:t>广州市花都区科技工业和信息化局</w:t>
            </w:r>
          </w:p>
        </w:tc>
      </w:tr>
      <w:tr w:rsidR="00312DE9" w14:paraId="0EB544C1" w14:textId="77777777" w:rsidTr="009F5087">
        <w:trPr>
          <w:trHeight w:val="2002"/>
        </w:trPr>
        <w:tc>
          <w:tcPr>
            <w:tcW w:w="1745" w:type="dxa"/>
            <w:vAlign w:val="center"/>
          </w:tcPr>
          <w:p w14:paraId="153A6CE9" w14:textId="77777777" w:rsidR="00312DE9" w:rsidRDefault="00312DE9" w:rsidP="009F5087">
            <w:pPr>
              <w:pStyle w:val="ae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127-T/ISC-25</w:t>
            </w:r>
          </w:p>
        </w:tc>
        <w:tc>
          <w:tcPr>
            <w:tcW w:w="3244" w:type="dxa"/>
            <w:vAlign w:val="center"/>
          </w:tcPr>
          <w:p w14:paraId="7D70D53F" w14:textId="77777777" w:rsidR="00312DE9" w:rsidRDefault="00312DE9" w:rsidP="009F5087">
            <w:pPr>
              <w:pStyle w:val="ae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《智能体信任评估实施指南》</w:t>
            </w:r>
          </w:p>
        </w:tc>
        <w:tc>
          <w:tcPr>
            <w:tcW w:w="5110" w:type="dxa"/>
          </w:tcPr>
          <w:p w14:paraId="6CB1D156" w14:textId="77777777" w:rsidR="00312DE9" w:rsidRDefault="00312DE9" w:rsidP="009F5087">
            <w:pPr>
              <w:pStyle w:val="ae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本文件提供了智能体信任评估的内容与指标项、评估方法与等级、评估原则与流程、报告撰写等内容，旨在规范和统一智能体信任评估的实施方法与技术框架。</w:t>
            </w:r>
          </w:p>
          <w:p w14:paraId="7CB8CF64" w14:textId="77777777" w:rsidR="00312DE9" w:rsidRDefault="00312DE9" w:rsidP="009F5087">
            <w:pPr>
              <w:pStyle w:val="ae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本文件适用于智能体信任评估的实施，包括信任评估方法、评估报告撰写、评估信息管理要求等相关领域的统一标准化执行。</w:t>
            </w:r>
          </w:p>
        </w:tc>
        <w:tc>
          <w:tcPr>
            <w:tcW w:w="1415" w:type="dxa"/>
            <w:vAlign w:val="center"/>
          </w:tcPr>
          <w:p w14:paraId="58F938F8" w14:textId="77777777" w:rsidR="00312DE9" w:rsidRDefault="00312DE9" w:rsidP="009F5087">
            <w:pPr>
              <w:pStyle w:val="ae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2026.5</w:t>
            </w:r>
          </w:p>
        </w:tc>
        <w:tc>
          <w:tcPr>
            <w:tcW w:w="2513" w:type="dxa"/>
            <w:vAlign w:val="center"/>
          </w:tcPr>
          <w:p w14:paraId="6C0B75DB" w14:textId="77777777" w:rsidR="00312DE9" w:rsidRDefault="00312DE9" w:rsidP="009F5087">
            <w:pPr>
              <w:pStyle w:val="ae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szCs w:val="24"/>
              </w:rPr>
              <w:t>清雁科技</w:t>
            </w:r>
            <w:proofErr w:type="gramEnd"/>
            <w:r>
              <w:rPr>
                <w:rFonts w:ascii="仿宋" w:eastAsia="仿宋" w:hAnsi="仿宋" w:cs="仿宋" w:hint="eastAsia"/>
                <w:szCs w:val="24"/>
              </w:rPr>
              <w:t>（北京）有限公司</w:t>
            </w:r>
          </w:p>
        </w:tc>
      </w:tr>
    </w:tbl>
    <w:p w14:paraId="4913C2A9" w14:textId="77777777" w:rsidR="00312DE9" w:rsidRPr="00312DE9" w:rsidRDefault="00312DE9"/>
    <w:sectPr w:rsidR="00312DE9" w:rsidRPr="00312DE9" w:rsidSect="00312DE9">
      <w:pgSz w:w="16838" w:h="11906" w:orient="landscape"/>
      <w:pgMar w:top="1800" w:right="1440" w:bottom="1286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E9"/>
    <w:rsid w:val="00312DE9"/>
    <w:rsid w:val="0045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4910"/>
  <w15:chartTrackingRefBased/>
  <w15:docId w15:val="{A26C252F-2A1A-4479-ADF7-A677EA91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DE9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12DE9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DE9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DE9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DE9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DE9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DE9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DE9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DE9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DE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D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312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DE9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312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DE9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312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DE9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312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312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DE9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rsid w:val="00312DE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f">
    <w:name w:val="Table Grid"/>
    <w:basedOn w:val="a1"/>
    <w:rsid w:val="00312DE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240</Characters>
  <Application>Microsoft Office Word</Application>
  <DocSecurity>0</DocSecurity>
  <Lines>17</Lines>
  <Paragraphs>14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2025-09-16T05:51:00Z</dcterms:created>
  <dcterms:modified xsi:type="dcterms:W3CDTF">2025-09-16T05:51:00Z</dcterms:modified>
</cp:coreProperties>
</file>