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039E4">
      <w:pPr>
        <w:rPr>
          <w:rFonts w:ascii="仿宋" w:hAnsi="仿宋" w:eastAsia="仿宋"/>
          <w:b/>
          <w:bCs/>
          <w:sz w:val="32"/>
          <w:szCs w:val="32"/>
        </w:rPr>
      </w:pPr>
      <w:r>
        <w:rPr>
          <w:rFonts w:hint="eastAsia" w:ascii="仿宋" w:hAnsi="仿宋" w:eastAsia="仿宋"/>
          <w:b/>
          <w:bCs/>
          <w:sz w:val="32"/>
          <w:szCs w:val="32"/>
        </w:rPr>
        <w:t>附件1：</w:t>
      </w:r>
      <w:r>
        <w:rPr>
          <w:rStyle w:val="35"/>
          <w:rFonts w:hint="eastAsia" w:ascii="仿宋" w:hAnsi="仿宋" w:eastAsia="仿宋" w:cs="仿宋"/>
          <w:b/>
          <w:bCs/>
          <w:sz w:val="32"/>
          <w:szCs w:val="32"/>
        </w:rPr>
        <w:t>《中国互联网企业综合实力指数（2026年）》研究方法</w:t>
      </w:r>
    </w:p>
    <w:p w14:paraId="2A39B40D">
      <w:pPr>
        <w:ind w:firstLine="643" w:firstLineChars="200"/>
        <w:outlineLvl w:val="1"/>
        <w:rPr>
          <w:rFonts w:ascii="仿宋" w:hAnsi="仿宋" w:eastAsia="仿宋" w:cs="仿宋"/>
          <w:b/>
          <w:bCs/>
          <w:sz w:val="32"/>
          <w:szCs w:val="32"/>
        </w:rPr>
      </w:pPr>
      <w:bookmarkStart w:id="0" w:name="_Toc31677"/>
      <w:bookmarkStart w:id="1" w:name="_Toc7112"/>
      <w:bookmarkStart w:id="2" w:name="_Toc24775"/>
      <w:bookmarkStart w:id="3" w:name="_Toc30459"/>
      <w:bookmarkStart w:id="4" w:name="_Toc9382"/>
      <w:bookmarkStart w:id="5" w:name="_Toc25234"/>
      <w:bookmarkStart w:id="6" w:name="_Toc217655798"/>
      <w:bookmarkStart w:id="7" w:name="_Toc10380_WPSOffice_Level2"/>
      <w:bookmarkStart w:id="8" w:name="_Toc7594"/>
      <w:bookmarkStart w:id="9" w:name="_Toc8360"/>
      <w:bookmarkStart w:id="10" w:name="_Toc24280"/>
      <w:bookmarkStart w:id="11" w:name="_Toc26913"/>
      <w:bookmarkStart w:id="12" w:name="_Toc21419"/>
      <w:bookmarkStart w:id="13" w:name="_Toc24828"/>
      <w:bookmarkStart w:id="14" w:name="_Toc27436"/>
      <w:bookmarkStart w:id="15" w:name="_Toc19731"/>
      <w:bookmarkStart w:id="16" w:name="_Toc14003"/>
      <w:bookmarkStart w:id="17" w:name="_Toc13916_WPSOffice_Level2"/>
      <w:bookmarkStart w:id="18" w:name="_Toc21180"/>
      <w:bookmarkStart w:id="19" w:name="_Toc15493"/>
      <w:r>
        <w:rPr>
          <w:rFonts w:hint="eastAsia" w:ascii="仿宋" w:hAnsi="仿宋" w:eastAsia="仿宋" w:cs="仿宋"/>
          <w:b/>
          <w:bCs/>
          <w:sz w:val="32"/>
          <w:szCs w:val="32"/>
        </w:rPr>
        <w:t>一、研究对象</w:t>
      </w:r>
      <w:bookmarkEnd w:id="0"/>
      <w:bookmarkEnd w:id="1"/>
      <w:bookmarkEnd w:id="2"/>
      <w:bookmarkEnd w:id="3"/>
      <w:bookmarkEnd w:id="4"/>
      <w:bookmarkEnd w:id="5"/>
      <w:bookmarkEnd w:id="6"/>
    </w:p>
    <w:p w14:paraId="02BD107F">
      <w:pPr>
        <w:pStyle w:val="36"/>
        <w:spacing w:line="240" w:lineRule="auto"/>
        <w:rPr>
          <w:rFonts w:ascii="仿宋" w:hAnsi="仿宋" w:eastAsia="仿宋" w:cs="仿宋"/>
          <w:sz w:val="32"/>
          <w:szCs w:val="32"/>
        </w:rPr>
      </w:pPr>
      <w:r>
        <w:rPr>
          <w:rFonts w:hint="eastAsia" w:ascii="仿宋" w:hAnsi="仿宋" w:eastAsia="仿宋" w:cs="仿宋"/>
          <w:sz w:val="32"/>
          <w:szCs w:val="32"/>
        </w:rPr>
        <w:t>2026年中国互联网企业综合实力指数研究的主要对象是营业收入主要通过互联网业务实现、主要收入来源地或运营总部位于中国大陆、持有增值电信业务经营许可证或其他研究领域内必要的资质与牌照且无重大违法违规行为的企业。对于集团公司的全资子公司或绝对控股的子公司，原则上以集团总公司的名义统一填报；对于集团公司控制权比例小于50%的参股公司，则可以独立填报。</w:t>
      </w:r>
    </w:p>
    <w:p w14:paraId="2A2E8D56">
      <w:pPr>
        <w:ind w:firstLine="643" w:firstLineChars="200"/>
        <w:outlineLvl w:val="1"/>
        <w:rPr>
          <w:rFonts w:ascii="仿宋" w:hAnsi="仿宋" w:eastAsia="仿宋" w:cs="仿宋"/>
          <w:b/>
          <w:bCs/>
          <w:sz w:val="32"/>
          <w:szCs w:val="32"/>
        </w:rPr>
      </w:pPr>
      <w:bookmarkStart w:id="20" w:name="_Toc217655799"/>
      <w:bookmarkStart w:id="21" w:name="_Toc24443"/>
      <w:bookmarkStart w:id="22" w:name="_Toc28359"/>
      <w:bookmarkStart w:id="23" w:name="_Toc5821"/>
      <w:bookmarkStart w:id="24" w:name="_Toc19441"/>
      <w:bookmarkStart w:id="25" w:name="_Toc28531"/>
      <w:bookmarkStart w:id="26" w:name="_Toc31813"/>
      <w:r>
        <w:rPr>
          <w:rFonts w:hint="eastAsia" w:ascii="仿宋" w:hAnsi="仿宋" w:eastAsia="仿宋" w:cs="仿宋"/>
          <w:b/>
          <w:bCs/>
          <w:sz w:val="32"/>
          <w:szCs w:val="32"/>
        </w:rPr>
        <w:t>二、数据来源</w:t>
      </w:r>
      <w:bookmarkEnd w:id="7"/>
      <w:r>
        <w:rPr>
          <w:rFonts w:hint="eastAsia" w:ascii="仿宋" w:hAnsi="仿宋" w:eastAsia="仿宋" w:cs="仿宋"/>
          <w:b/>
          <w:bCs/>
          <w:sz w:val="32"/>
          <w:szCs w:val="32"/>
        </w:rPr>
        <w:t>与审核</w:t>
      </w:r>
      <w:bookmarkEnd w:id="8"/>
      <w:bookmarkEnd w:id="9"/>
      <w:bookmarkEnd w:id="10"/>
      <w:bookmarkEnd w:id="11"/>
      <w:bookmarkEnd w:id="12"/>
      <w:bookmarkEnd w:id="20"/>
      <w:bookmarkEnd w:id="21"/>
      <w:bookmarkEnd w:id="22"/>
      <w:bookmarkEnd w:id="23"/>
      <w:bookmarkEnd w:id="24"/>
      <w:bookmarkEnd w:id="25"/>
      <w:bookmarkEnd w:id="26"/>
    </w:p>
    <w:p w14:paraId="56F0F4BC">
      <w:pPr>
        <w:pStyle w:val="36"/>
        <w:spacing w:line="240" w:lineRule="auto"/>
        <w:rPr>
          <w:rFonts w:ascii="仿宋" w:hAnsi="仿宋" w:eastAsia="仿宋" w:cs="仿宋"/>
          <w:sz w:val="32"/>
          <w:szCs w:val="32"/>
        </w:rPr>
      </w:pPr>
      <w:r>
        <w:rPr>
          <w:rFonts w:hint="eastAsia" w:ascii="仿宋" w:hAnsi="仿宋" w:eastAsia="仿宋" w:cs="仿宋"/>
          <w:sz w:val="32"/>
          <w:szCs w:val="32"/>
        </w:rPr>
        <w:t>本次研究的数据</w:t>
      </w:r>
      <w:r>
        <w:rPr>
          <w:rFonts w:ascii="仿宋" w:hAnsi="仿宋" w:eastAsia="仿宋" w:cs="仿宋"/>
          <w:sz w:val="32"/>
          <w:szCs w:val="32"/>
        </w:rPr>
        <w:t>基础是</w:t>
      </w:r>
      <w:r>
        <w:rPr>
          <w:rFonts w:hint="eastAsia" w:ascii="仿宋" w:hAnsi="仿宋" w:eastAsia="仿宋" w:cs="仿宋"/>
          <w:sz w:val="32"/>
          <w:szCs w:val="32"/>
        </w:rPr>
        <w:t>企业2024和2025年度数据，数据来源包含上市公司财务报告、拟上市公司招股说明书、企业审计报告、第三方平台监测数据和企业自主填报数据等。</w:t>
      </w:r>
    </w:p>
    <w:p w14:paraId="74E9AEA1">
      <w:pPr>
        <w:pStyle w:val="36"/>
        <w:spacing w:line="240" w:lineRule="auto"/>
        <w:rPr>
          <w:rFonts w:ascii="仿宋" w:hAnsi="仿宋" w:eastAsia="仿宋"/>
          <w:sz w:val="32"/>
          <w:szCs w:val="32"/>
        </w:rPr>
      </w:pPr>
      <w:bookmarkStart w:id="27" w:name="_Hlk179722554"/>
      <w:r>
        <w:rPr>
          <w:rFonts w:hint="eastAsia" w:ascii="仿宋" w:hAnsi="仿宋" w:eastAsia="仿宋" w:cs="仿宋"/>
          <w:sz w:val="32"/>
          <w:szCs w:val="32"/>
        </w:rPr>
        <w:t>企业资质及数据审核工作重点包括：企业增值电信业务经营许可证或其他必要的资质与牌照核查、企业主营业务类型核查、企业数据真实性和准确性核查等。为确保研究工作的严谨性，对于企业类型不属于本研究范畴、填报材料不符合申报要求、数据真实性与准确性存疑的企业，未纳入研究范围。</w:t>
      </w:r>
    </w:p>
    <w:bookmarkEnd w:id="27"/>
    <w:p w14:paraId="43DD4AA1">
      <w:pPr>
        <w:ind w:firstLine="643" w:firstLineChars="200"/>
        <w:outlineLvl w:val="1"/>
        <w:rPr>
          <w:rFonts w:ascii="仿宋" w:hAnsi="仿宋" w:eastAsia="仿宋" w:cs="仿宋"/>
          <w:b/>
          <w:bCs/>
          <w:sz w:val="32"/>
          <w:szCs w:val="32"/>
        </w:rPr>
      </w:pPr>
      <w:bookmarkStart w:id="28" w:name="_Toc185_WPSOffice_Level2"/>
      <w:bookmarkStart w:id="29" w:name="_Toc217655800"/>
      <w:bookmarkStart w:id="30" w:name="_Toc25028"/>
      <w:bookmarkStart w:id="31" w:name="_Toc9237"/>
      <w:bookmarkStart w:id="32" w:name="_Toc4373"/>
      <w:bookmarkStart w:id="33" w:name="_Toc10320"/>
      <w:bookmarkStart w:id="34" w:name="_Toc666"/>
      <w:bookmarkStart w:id="35" w:name="_Toc24385"/>
      <w:bookmarkStart w:id="36" w:name="_Toc17481"/>
      <w:bookmarkStart w:id="37" w:name="_Toc21720"/>
      <w:bookmarkStart w:id="38" w:name="_Toc32018"/>
      <w:bookmarkStart w:id="39" w:name="_Toc31188"/>
      <w:bookmarkStart w:id="40" w:name="_Toc31473"/>
      <w:r>
        <w:rPr>
          <w:rFonts w:hint="eastAsia" w:ascii="仿宋" w:hAnsi="仿宋" w:eastAsia="仿宋" w:cs="仿宋"/>
          <w:b/>
          <w:bCs/>
          <w:sz w:val="32"/>
          <w:szCs w:val="32"/>
        </w:rPr>
        <w:t>三、评价维度和方法</w:t>
      </w:r>
      <w:bookmarkEnd w:id="28"/>
      <w:bookmarkEnd w:id="29"/>
      <w:bookmarkEnd w:id="30"/>
      <w:bookmarkEnd w:id="31"/>
      <w:bookmarkEnd w:id="32"/>
      <w:bookmarkEnd w:id="33"/>
      <w:bookmarkEnd w:id="34"/>
      <w:bookmarkEnd w:id="35"/>
      <w:bookmarkEnd w:id="36"/>
      <w:bookmarkEnd w:id="37"/>
      <w:bookmarkEnd w:id="38"/>
      <w:bookmarkEnd w:id="39"/>
      <w:bookmarkEnd w:id="40"/>
    </w:p>
    <w:p w14:paraId="1B84CAF2">
      <w:pPr>
        <w:pStyle w:val="36"/>
        <w:spacing w:line="240" w:lineRule="auto"/>
        <w:ind w:firstLine="643"/>
        <w:rPr>
          <w:rFonts w:ascii="仿宋" w:hAnsi="仿宋" w:eastAsia="仿宋" w:cs="仿宋"/>
          <w:sz w:val="32"/>
          <w:szCs w:val="32"/>
        </w:rPr>
      </w:pPr>
      <w:r>
        <w:rPr>
          <w:rFonts w:hint="eastAsia" w:ascii="仿宋" w:hAnsi="仿宋" w:eastAsia="仿宋" w:cs="仿宋"/>
          <w:b/>
          <w:bCs/>
          <w:sz w:val="32"/>
          <w:szCs w:val="32"/>
        </w:rPr>
        <w:t>中国互联网综合实力企业评价指标体系</w:t>
      </w:r>
      <w:r>
        <w:rPr>
          <w:rFonts w:hint="eastAsia" w:ascii="仿宋" w:hAnsi="仿宋" w:eastAsia="仿宋" w:cs="仿宋"/>
          <w:sz w:val="32"/>
          <w:szCs w:val="32"/>
        </w:rPr>
        <w:t>主要选取代表企业规模、盈利能力、创新能力、成长能力、风险防控能力、社会责任和企业信用等7大维度的20类核心指标，综合行业发展态势和专家及企业意见对指标设置权重。</w:t>
      </w:r>
    </w:p>
    <w:p w14:paraId="506A7231">
      <w:pPr>
        <w:pStyle w:val="36"/>
        <w:spacing w:line="240" w:lineRule="auto"/>
        <w:ind w:firstLine="0" w:firstLineChars="0"/>
        <w:jc w:val="center"/>
        <w:rPr>
          <w:rFonts w:ascii="仿宋" w:hAnsi="仿宋" w:eastAsia="仿宋" w:cs="仿宋"/>
          <w:sz w:val="32"/>
          <w:szCs w:val="32"/>
        </w:rPr>
      </w:pPr>
      <w:r>
        <w:rPr>
          <w:rFonts w:ascii="仿宋" w:hAnsi="仿宋" w:eastAsia="仿宋" w:cs="仿宋"/>
          <w:sz w:val="32"/>
          <w:szCs w:val="32"/>
        </w:rPr>
        <w:drawing>
          <wp:inline distT="0" distB="0" distL="0" distR="0">
            <wp:extent cx="5039995" cy="2042160"/>
            <wp:effectExtent l="0" t="0" r="0" b="0"/>
            <wp:docPr id="29055715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57159" name="图片 4"/>
                    <pic:cNvPicPr>
                      <a:picLocks noChangeAspect="1" noChangeArrowheads="1"/>
                    </pic:cNvPicPr>
                  </pic:nvPicPr>
                  <pic:blipFill>
                    <a:blip r:embed="rId4">
                      <a:extLst>
                        <a:ext uri="{28A0092B-C50C-407E-A947-70E740481C1C}">
                          <a14:useLocalDpi xmlns:a14="http://schemas.microsoft.com/office/drawing/2010/main" val="0"/>
                        </a:ext>
                      </a:extLst>
                    </a:blip>
                    <a:srcRect b="16721"/>
                    <a:stretch>
                      <a:fillRect/>
                    </a:stretch>
                  </pic:blipFill>
                  <pic:spPr>
                    <a:xfrm>
                      <a:off x="0" y="0"/>
                      <a:ext cx="5040000" cy="2042688"/>
                    </a:xfrm>
                    <a:prstGeom prst="rect">
                      <a:avLst/>
                    </a:prstGeom>
                    <a:noFill/>
                    <a:ln>
                      <a:noFill/>
                    </a:ln>
                  </pic:spPr>
                </pic:pic>
              </a:graphicData>
            </a:graphic>
          </wp:inline>
        </w:drawing>
      </w:r>
    </w:p>
    <w:p w14:paraId="1EAB9832">
      <w:pPr>
        <w:pStyle w:val="36"/>
        <w:spacing w:line="240" w:lineRule="auto"/>
        <w:ind w:firstLine="0" w:firstLineChars="0"/>
        <w:jc w:val="center"/>
        <w:rPr>
          <w:rFonts w:ascii="仿宋" w:hAnsi="仿宋" w:eastAsia="仿宋" w:cs="仿宋"/>
          <w:sz w:val="28"/>
          <w:szCs w:val="28"/>
        </w:rPr>
      </w:pPr>
      <w:r>
        <w:rPr>
          <w:rFonts w:hint="eastAsia" w:ascii="仿宋" w:hAnsi="仿宋" w:eastAsia="仿宋" w:cs="仿宋"/>
          <w:sz w:val="28"/>
          <w:szCs w:val="28"/>
        </w:rPr>
        <w:t>图1.1  中国互联网综合实力企业评价维度</w:t>
      </w:r>
    </w:p>
    <w:p w14:paraId="37FA7A33">
      <w:pPr>
        <w:pStyle w:val="36"/>
        <w:spacing w:line="240" w:lineRule="auto"/>
        <w:ind w:firstLine="643"/>
        <w:rPr>
          <w:rFonts w:ascii="仿宋" w:hAnsi="仿宋" w:eastAsia="仿宋" w:cs="仿宋"/>
          <w:sz w:val="32"/>
          <w:szCs w:val="32"/>
        </w:rPr>
      </w:pPr>
      <w:r>
        <w:rPr>
          <w:rFonts w:hint="eastAsia" w:ascii="仿宋" w:hAnsi="仿宋" w:eastAsia="仿宋" w:cs="仿宋"/>
          <w:b/>
          <w:bCs/>
          <w:sz w:val="32"/>
          <w:szCs w:val="32"/>
        </w:rPr>
        <w:t>中国互联网成长型企业评价指标体系</w:t>
      </w:r>
      <w:bookmarkStart w:id="41" w:name="_Hlk217564209"/>
      <w:r>
        <w:rPr>
          <w:rFonts w:hint="eastAsia" w:ascii="仿宋" w:hAnsi="仿宋" w:eastAsia="仿宋" w:cs="仿宋"/>
          <w:sz w:val="32"/>
          <w:szCs w:val="32"/>
        </w:rPr>
        <w:t>主要选取代表企业成长能力、创新能力、盈利能力、社会责任和企业信用等5大维度的13类核心指标，综合行业发展态势和专家及企业意见对指标设置权重。</w:t>
      </w:r>
      <w:bookmarkEnd w:id="41"/>
    </w:p>
    <w:p w14:paraId="1F2ECDAC">
      <w:pPr>
        <w:pStyle w:val="36"/>
        <w:spacing w:line="240" w:lineRule="auto"/>
        <w:ind w:firstLine="0" w:firstLineChars="0"/>
        <w:jc w:val="center"/>
        <w:rPr>
          <w:rFonts w:ascii="仿宋" w:hAnsi="仿宋" w:eastAsia="仿宋" w:cs="仿宋"/>
          <w:sz w:val="32"/>
          <w:szCs w:val="32"/>
        </w:rPr>
      </w:pPr>
      <w:r>
        <w:rPr>
          <w:rFonts w:ascii="仿宋" w:hAnsi="仿宋" w:eastAsia="仿宋" w:cs="仿宋"/>
          <w:sz w:val="32"/>
          <w:szCs w:val="32"/>
        </w:rPr>
        <w:drawing>
          <wp:inline distT="0" distB="0" distL="0" distR="0">
            <wp:extent cx="5038725" cy="1927860"/>
            <wp:effectExtent l="0" t="0" r="0" b="0"/>
            <wp:docPr id="187180597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805974" name="图片 5"/>
                    <pic:cNvPicPr>
                      <a:picLocks noChangeAspect="1" noChangeArrowheads="1"/>
                    </pic:cNvPicPr>
                  </pic:nvPicPr>
                  <pic:blipFill>
                    <a:blip r:embed="rId5">
                      <a:extLst>
                        <a:ext uri="{28A0092B-C50C-407E-A947-70E740481C1C}">
                          <a14:useLocalDpi xmlns:a14="http://schemas.microsoft.com/office/drawing/2010/main" val="0"/>
                        </a:ext>
                      </a:extLst>
                    </a:blip>
                    <a:srcRect b="16322"/>
                    <a:stretch>
                      <a:fillRect/>
                    </a:stretch>
                  </pic:blipFill>
                  <pic:spPr>
                    <a:xfrm>
                      <a:off x="0" y="0"/>
                      <a:ext cx="5040000" cy="1928762"/>
                    </a:xfrm>
                    <a:prstGeom prst="rect">
                      <a:avLst/>
                    </a:prstGeom>
                    <a:noFill/>
                    <a:ln>
                      <a:noFill/>
                    </a:ln>
                  </pic:spPr>
                </pic:pic>
              </a:graphicData>
            </a:graphic>
          </wp:inline>
        </w:drawing>
      </w:r>
    </w:p>
    <w:p w14:paraId="6194FC79">
      <w:pPr>
        <w:pStyle w:val="36"/>
        <w:spacing w:line="240" w:lineRule="auto"/>
        <w:ind w:firstLine="0" w:firstLineChars="0"/>
        <w:jc w:val="center"/>
        <w:rPr>
          <w:rFonts w:ascii="仿宋" w:hAnsi="仿宋" w:eastAsia="仿宋" w:cs="仿宋"/>
          <w:sz w:val="28"/>
          <w:szCs w:val="28"/>
        </w:rPr>
      </w:pPr>
      <w:r>
        <w:rPr>
          <w:rFonts w:hint="eastAsia" w:ascii="仿宋" w:hAnsi="仿宋" w:eastAsia="仿宋" w:cs="仿宋"/>
          <w:sz w:val="28"/>
          <w:szCs w:val="28"/>
        </w:rPr>
        <w:t>图1.2  中国互联网成长型企业评价维度</w:t>
      </w:r>
    </w:p>
    <w:p w14:paraId="2BA6A89E">
      <w:pPr>
        <w:pStyle w:val="36"/>
        <w:spacing w:line="240" w:lineRule="auto"/>
        <w:ind w:firstLine="643"/>
        <w:rPr>
          <w:rFonts w:ascii="仿宋" w:hAnsi="仿宋" w:eastAsia="仿宋" w:cs="仿宋"/>
          <w:sz w:val="32"/>
          <w:szCs w:val="32"/>
        </w:rPr>
      </w:pPr>
      <w:r>
        <w:rPr>
          <w:rFonts w:hint="eastAsia" w:ascii="仿宋" w:hAnsi="仿宋" w:eastAsia="仿宋" w:cs="仿宋"/>
          <w:b/>
          <w:bCs/>
          <w:sz w:val="32"/>
          <w:szCs w:val="32"/>
        </w:rPr>
        <w:t>中国网络安全企业评价指标体系</w:t>
      </w:r>
      <w:r>
        <w:rPr>
          <w:rFonts w:hint="eastAsia" w:ascii="仿宋" w:hAnsi="仿宋" w:eastAsia="仿宋" w:cs="仿宋"/>
          <w:sz w:val="32"/>
          <w:szCs w:val="32"/>
        </w:rPr>
        <w:t>主要选取代表企业网络安全业务规模、创新能力、保障能力、成长能力、盈利能力、社会责任和企业信用等7大维度的20类核心指标，综合行业发展态势和专家及企业意见对指标设置权重。</w:t>
      </w:r>
    </w:p>
    <w:p w14:paraId="339F7623">
      <w:pPr>
        <w:pStyle w:val="36"/>
        <w:spacing w:line="240" w:lineRule="auto"/>
        <w:ind w:firstLine="0" w:firstLineChars="0"/>
        <w:jc w:val="center"/>
        <w:rPr>
          <w:rFonts w:ascii="仿宋" w:hAnsi="仿宋" w:eastAsia="仿宋" w:cs="仿宋"/>
          <w:sz w:val="32"/>
          <w:szCs w:val="32"/>
        </w:rPr>
      </w:pPr>
      <w:r>
        <w:rPr>
          <w:rFonts w:ascii="仿宋" w:hAnsi="仿宋" w:eastAsia="仿宋" w:cs="仿宋"/>
          <w:sz w:val="32"/>
          <w:szCs w:val="32"/>
        </w:rPr>
        <w:drawing>
          <wp:inline distT="0" distB="0" distL="0" distR="0">
            <wp:extent cx="5039360" cy="2042795"/>
            <wp:effectExtent l="0" t="0" r="0" b="0"/>
            <wp:docPr id="9897580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5809" name="图片 6"/>
                    <pic:cNvPicPr>
                      <a:picLocks noChangeAspect="1" noChangeArrowheads="1"/>
                    </pic:cNvPicPr>
                  </pic:nvPicPr>
                  <pic:blipFill>
                    <a:blip r:embed="rId6">
                      <a:extLst>
                        <a:ext uri="{28A0092B-C50C-407E-A947-70E740481C1C}">
                          <a14:useLocalDpi xmlns:a14="http://schemas.microsoft.com/office/drawing/2010/main" val="0"/>
                        </a:ext>
                      </a:extLst>
                    </a:blip>
                    <a:srcRect b="17460"/>
                    <a:stretch>
                      <a:fillRect/>
                    </a:stretch>
                  </pic:blipFill>
                  <pic:spPr>
                    <a:xfrm>
                      <a:off x="0" y="0"/>
                      <a:ext cx="5040000" cy="2043169"/>
                    </a:xfrm>
                    <a:prstGeom prst="rect">
                      <a:avLst/>
                    </a:prstGeom>
                    <a:noFill/>
                    <a:ln>
                      <a:noFill/>
                    </a:ln>
                  </pic:spPr>
                </pic:pic>
              </a:graphicData>
            </a:graphic>
          </wp:inline>
        </w:drawing>
      </w:r>
    </w:p>
    <w:p w14:paraId="0783F429">
      <w:pPr>
        <w:pStyle w:val="36"/>
        <w:spacing w:line="240" w:lineRule="auto"/>
        <w:ind w:firstLine="0" w:firstLineChars="0"/>
        <w:jc w:val="center"/>
        <w:rPr>
          <w:rFonts w:ascii="仿宋" w:hAnsi="仿宋" w:eastAsia="仿宋" w:cs="仿宋"/>
          <w:sz w:val="28"/>
          <w:szCs w:val="28"/>
        </w:rPr>
      </w:pPr>
      <w:r>
        <w:rPr>
          <w:rFonts w:hint="eastAsia" w:ascii="仿宋" w:hAnsi="仿宋" w:eastAsia="仿宋" w:cs="仿宋"/>
          <w:sz w:val="28"/>
          <w:szCs w:val="28"/>
        </w:rPr>
        <w:t>图1.3  中国网络安全企业评价维度</w:t>
      </w:r>
    </w:p>
    <w:bookmarkEnd w:id="13"/>
    <w:bookmarkEnd w:id="14"/>
    <w:bookmarkEnd w:id="15"/>
    <w:bookmarkEnd w:id="16"/>
    <w:bookmarkEnd w:id="17"/>
    <w:bookmarkEnd w:id="18"/>
    <w:bookmarkEnd w:id="19"/>
    <w:p w14:paraId="6B5FA125">
      <w:pPr>
        <w:rPr>
          <w:rFonts w:ascii="仿宋" w:hAnsi="仿宋" w:eastAsia="仿宋" w:cs="仿宋"/>
          <w:sz w:val="32"/>
          <w:szCs w:val="32"/>
        </w:rPr>
      </w:pPr>
      <w:bookmarkStart w:id="42" w:name="_GoBack"/>
      <w:bookmarkEnd w:id="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2B"/>
    <w:rsid w:val="0002304F"/>
    <w:rsid w:val="001470A8"/>
    <w:rsid w:val="001A3F2B"/>
    <w:rsid w:val="002A6EB7"/>
    <w:rsid w:val="002B0396"/>
    <w:rsid w:val="002C5630"/>
    <w:rsid w:val="004650FD"/>
    <w:rsid w:val="007068E2"/>
    <w:rsid w:val="00837598"/>
    <w:rsid w:val="008408B0"/>
    <w:rsid w:val="008C6A5F"/>
    <w:rsid w:val="009054EC"/>
    <w:rsid w:val="00A86DA1"/>
    <w:rsid w:val="00A93FE0"/>
    <w:rsid w:val="00AD3ED5"/>
    <w:rsid w:val="00AD6AE0"/>
    <w:rsid w:val="00B24E02"/>
    <w:rsid w:val="00B77FC7"/>
    <w:rsid w:val="00C86210"/>
    <w:rsid w:val="00CF296F"/>
    <w:rsid w:val="00DC0021"/>
    <w:rsid w:val="00F557D1"/>
    <w:rsid w:val="135A34A3"/>
    <w:rsid w:val="2330251B"/>
    <w:rsid w:val="FBF4EB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14:ligatures w14:val="standardContextual"/>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qFormat/>
    <w:uiPriority w:val="0"/>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14:ligatures w14:val="standardContextual"/>
    </w:r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long_text1"/>
    <w:qFormat/>
    <w:uiPriority w:val="0"/>
    <w:rPr>
      <w:sz w:val="13"/>
      <w:szCs w:val="13"/>
    </w:rPr>
  </w:style>
  <w:style w:type="paragraph" w:customStyle="1" w:styleId="36">
    <w:name w:val="正文内容"/>
    <w:basedOn w:val="1"/>
    <w:qFormat/>
    <w:uiPriority w:val="0"/>
    <w:pPr>
      <w:spacing w:line="560" w:lineRule="exact"/>
      <w:ind w:firstLine="640" w:firstLineChars="200"/>
    </w:pPr>
    <w:rPr>
      <w:rFonts w:ascii="仿宋_GB2312" w:eastAsia="仿宋_GB2312"/>
      <w:szCs w:val="30"/>
    </w:rPr>
  </w:style>
  <w:style w:type="character" w:customStyle="1" w:styleId="37">
    <w:name w:val="页眉 字符"/>
    <w:basedOn w:val="16"/>
    <w:link w:val="12"/>
    <w:qFormat/>
    <w:uiPriority w:val="99"/>
    <w:rPr>
      <w:rFonts w:ascii="Calibri" w:hAnsi="Calibri" w:eastAsia="宋体" w:cs="Times New Roman"/>
      <w:sz w:val="18"/>
      <w:szCs w:val="18"/>
      <w14:ligatures w14:val="none"/>
    </w:rPr>
  </w:style>
  <w:style w:type="character" w:customStyle="1" w:styleId="38">
    <w:name w:val="页脚 字符"/>
    <w:basedOn w:val="16"/>
    <w:link w:val="11"/>
    <w:qFormat/>
    <w:uiPriority w:val="99"/>
    <w:rPr>
      <w:rFonts w:ascii="Calibri" w:hAnsi="Calibri" w:eastAsia="宋体" w:cs="Times New Roman"/>
      <w:sz w:val="18"/>
      <w:szCs w:val="18"/>
      <w14:ligatures w14:val="none"/>
    </w:rPr>
  </w:style>
  <w:style w:type="paragraph" w:customStyle="1" w:styleId="39">
    <w:name w:val="BodyText1I2"/>
    <w:basedOn w:val="1"/>
    <w:qFormat/>
    <w:uiPriority w:val="0"/>
    <w:pPr>
      <w:spacing w:after="120"/>
      <w:ind w:left="420" w:leftChars="200" w:firstLine="42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1718</Words>
  <Characters>1766</Characters>
  <Lines>12</Lines>
  <Paragraphs>3</Paragraphs>
  <TotalTime>11</TotalTime>
  <ScaleCrop>false</ScaleCrop>
  <LinksUpToDate>false</LinksUpToDate>
  <CharactersWithSpaces>1773</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2025-02-13T14:00:00Z</dcterms:created>
  <dc:creator>高志宇</dc:creator>
  <cp:lastModifiedBy>-ddzbb</cp:lastModifiedBy>
  <dcterms:modified xsi:type="dcterms:W3CDTF">2026-02-09T15:32:33Z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eyJoZGlkIjoiOTI5YmVmM2I2N2IxMDZhOTBhYmZkMTY4NDBmNDA2YjQiLCJ1c2VySWQiOiI0NDk2NzY0OTEifQ==</vt:lpwstr>
  </property>
  <property fmtid="{D5CDD505-2E9C-101B-9397-08002B2CF9AE}" pid="3" name="KSOProductBuildVer">
    <vt:lpwstr>2052-12.1.23540.23540</vt:lpwstr>
  </property>
  <property fmtid="{D5CDD505-2E9C-101B-9397-08002B2CF9AE}" pid="4" name="ICV">
    <vt:lpwstr>CD18678211E16404918D896940777472_43</vt:lpwstr>
  </property>
</Properties>
</file>