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BC8AC">
      <w:pPr>
        <w:pStyle w:val="3"/>
        <w:widowControl/>
        <w:spacing w:beforeAutospacing="0" w:afterAutospacing="0" w:line="540" w:lineRule="atLeast"/>
        <w:jc w:val="both"/>
        <w:rPr>
          <w:rFonts w:hint="eastAsia" w:ascii="黑体" w:hAnsi="黑体" w:eastAsia="黑体" w:cs="黑体"/>
          <w:color w:val="282828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282828"/>
          <w:kern w:val="0"/>
          <w:sz w:val="36"/>
          <w:szCs w:val="36"/>
        </w:rPr>
        <w:t>附件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3</w:t>
      </w:r>
    </w:p>
    <w:p w14:paraId="22C36B9A">
      <w:pPr>
        <w:spacing w:before="240" w:after="240" w:line="360" w:lineRule="auto"/>
        <w:jc w:val="center"/>
        <w:rPr>
          <w:rFonts w:hint="eastAsia" w:ascii="黑体" w:hAnsi="黑体" w:eastAsia="黑体" w:cs="黑体"/>
          <w:color w:val="282828"/>
          <w:kern w:val="2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eastAsia="zh-CN"/>
        </w:rPr>
        <w:t>《</w:t>
      </w:r>
      <w:r>
        <w:rPr>
          <w:rFonts w:hint="eastAsia" w:ascii="黑体" w:hAnsi="黑体" w:eastAsia="黑体" w:cs="黑体"/>
          <w:sz w:val="36"/>
          <w:szCs w:val="36"/>
        </w:rPr>
        <w:t>企业数字广告合规性</w:t>
      </w:r>
      <w:r>
        <w:rPr>
          <w:rFonts w:hint="eastAsia" w:ascii="黑体" w:hAnsi="黑体" w:eastAsia="黑体" w:cs="黑体"/>
          <w:kern w:val="0"/>
          <w:sz w:val="36"/>
          <w:szCs w:val="36"/>
        </w:rPr>
        <w:t>评价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表</w:t>
      </w:r>
      <w:r>
        <w:rPr>
          <w:rFonts w:hint="eastAsia" w:ascii="黑体" w:hAnsi="黑体" w:eastAsia="黑体" w:cs="黑体"/>
          <w:kern w:val="0"/>
          <w:sz w:val="36"/>
          <w:szCs w:val="36"/>
        </w:rPr>
        <w:t>（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技术</w:t>
      </w:r>
      <w:r>
        <w:rPr>
          <w:rFonts w:hint="eastAsia" w:ascii="黑体" w:hAnsi="黑体" w:eastAsia="黑体" w:cs="黑体"/>
          <w:kern w:val="0"/>
          <w:sz w:val="36"/>
          <w:szCs w:val="36"/>
        </w:rPr>
        <w:t>层面）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》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84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9" w:type="dxa"/>
            <w:noWrap w:val="0"/>
            <w:vAlign w:val="center"/>
          </w:tcPr>
          <w:p w14:paraId="5BB75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 w:bidi="ar"/>
              </w:rPr>
              <w:t>基本方式</w:t>
            </w:r>
          </w:p>
        </w:tc>
      </w:tr>
      <w:tr w14:paraId="5613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9" w:type="dxa"/>
            <w:noWrap w:val="0"/>
            <w:vAlign w:val="center"/>
          </w:tcPr>
          <w:p w14:paraId="4774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cs="宋体"/>
                <w:bCs/>
                <w:kern w:val="0"/>
                <w:sz w:val="24"/>
                <w:szCs w:val="18"/>
              </w:rPr>
              <w:t>轻变聚合实验室SDK内嵌轻量级AI巡检机器人，对广告素材进行扫描与内容分析</w:t>
            </w:r>
          </w:p>
        </w:tc>
      </w:tr>
      <w:tr w14:paraId="4169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9" w:type="dxa"/>
            <w:noWrap w:val="0"/>
            <w:vAlign w:val="center"/>
          </w:tcPr>
          <w:p w14:paraId="547D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bidi="ar"/>
              </w:rPr>
              <w:t>技术实施与流程</w:t>
            </w:r>
          </w:p>
        </w:tc>
      </w:tr>
      <w:tr w14:paraId="4418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059" w:type="dxa"/>
            <w:noWrap w:val="0"/>
            <w:vAlign w:val="center"/>
          </w:tcPr>
          <w:p w14:paraId="726A90E0">
            <w:pPr>
              <w:numPr>
                <w:ilvl w:val="0"/>
                <w:numId w:val="1"/>
              </w:numPr>
              <w:autoSpaceDN w:val="0"/>
              <w:adjustRightInd w:val="0"/>
              <w:snapToGrid w:val="0"/>
              <w:spacing w:line="400" w:lineRule="exact"/>
              <w:ind w:left="420" w:hanging="420" w:firstLineChars="0"/>
              <w:jc w:val="left"/>
              <w:rPr>
                <w:rFonts w:hint="eastAsia" w:ascii="Calibri" w:hAnsi="Calibri" w:eastAsia="宋体" w:cs="宋体"/>
                <w:bCs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18"/>
                <w:highlight w:val="none"/>
                <w:lang w:bidi="ar"/>
              </w:rPr>
              <w:t>SDK接入：参评企业需根据提供的技术指引，在其数字广告业务系统或相关应用环境中，完成合规SDK的集成接入</w:t>
            </w:r>
          </w:p>
          <w:p w14:paraId="3DF6D066">
            <w:pPr>
              <w:numPr>
                <w:ilvl w:val="0"/>
                <w:numId w:val="1"/>
              </w:numPr>
              <w:autoSpaceDN w:val="0"/>
              <w:adjustRightInd w:val="0"/>
              <w:snapToGrid w:val="0"/>
              <w:spacing w:line="400" w:lineRule="exact"/>
              <w:ind w:left="420" w:hanging="420" w:firstLineChars="0"/>
              <w:jc w:val="left"/>
              <w:rPr>
                <w:rFonts w:hint="eastAsia" w:ascii="Calibri" w:hAnsi="Calibri" w:eastAsia="宋体" w:cs="宋体"/>
                <w:bCs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18"/>
                <w:highlight w:val="none"/>
                <w:lang w:bidi="ar"/>
              </w:rPr>
              <w:t>数据采集：合规SDK将对广告素材进行安全、可控的采样与特征提取，相关数据经加密后用于合规分析</w:t>
            </w:r>
          </w:p>
          <w:p w14:paraId="5C8F876A">
            <w:pPr>
              <w:numPr>
                <w:ilvl w:val="0"/>
                <w:numId w:val="1"/>
              </w:numPr>
              <w:autoSpaceDN w:val="0"/>
              <w:adjustRightInd w:val="0"/>
              <w:snapToGrid w:val="0"/>
              <w:spacing w:line="400" w:lineRule="exact"/>
              <w:ind w:left="420" w:hanging="420" w:firstLineChars="0"/>
              <w:jc w:val="left"/>
              <w:rPr>
                <w:rFonts w:hint="eastAsia" w:ascii="Calibri" w:hAnsi="Calibri" w:eastAsia="宋体" w:cs="宋体"/>
                <w:bCs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18"/>
                <w:highlight w:val="none"/>
                <w:lang w:bidi="ar"/>
              </w:rPr>
              <w:t>AI巡检：集成后，AI巡检机器人将基于内置的合规规则库与模型，对采集的素材样本进行自动化风险筛查与识别</w:t>
            </w:r>
          </w:p>
          <w:p w14:paraId="60875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420" w:hanging="42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18"/>
                <w:highlight w:val="none"/>
                <w:lang w:bidi="ar"/>
              </w:rPr>
              <w:t>结果反馈：巡检发现的可疑或违规线索将生成</w:t>
            </w: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18"/>
                <w:highlight w:val="none"/>
                <w:lang w:eastAsia="zh-CN" w:bidi="ar"/>
              </w:rPr>
              <w:t>数字广告合规性</w:t>
            </w: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18"/>
                <w:highlight w:val="none"/>
                <w:lang w:bidi="ar"/>
              </w:rPr>
              <w:t>AI巡检分析报告，作为本次贯标评价中技术符合性评估的重要依据</w:t>
            </w: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18"/>
                <w:highlight w:val="none"/>
                <w:lang w:val="en-US" w:eastAsia="zh-CN" w:bidi="ar"/>
              </w:rPr>
              <w:t>之一</w:t>
            </w:r>
          </w:p>
        </w:tc>
      </w:tr>
      <w:tr w14:paraId="253C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9" w:type="dxa"/>
            <w:noWrap w:val="0"/>
            <w:vAlign w:val="center"/>
          </w:tcPr>
          <w:p w14:paraId="3E92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eastAsia="宋体" w:cs="宋体"/>
                <w:b/>
                <w:bCs w:val="0"/>
                <w:kern w:val="0"/>
                <w:sz w:val="24"/>
                <w:szCs w:val="18"/>
                <w:lang w:eastAsia="zh-CN"/>
              </w:rPr>
              <w:t>企业配合要求</w:t>
            </w:r>
          </w:p>
        </w:tc>
      </w:tr>
      <w:tr w14:paraId="41CB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59" w:type="dxa"/>
            <w:noWrap w:val="0"/>
            <w:vAlign w:val="center"/>
          </w:tcPr>
          <w:p w14:paraId="70310509">
            <w:pPr>
              <w:numPr>
                <w:ilvl w:val="0"/>
                <w:numId w:val="0"/>
              </w:numPr>
              <w:autoSpaceDN w:val="0"/>
              <w:adjustRightInd w:val="0"/>
              <w:snapToGrid w:val="0"/>
              <w:spacing w:line="606" w:lineRule="exact"/>
              <w:ind w:left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u w:val="single"/>
                <w:lang w:val="en-U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bidi="ar"/>
              </w:rPr>
              <w:t>技术接口人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联系方式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</w:p>
          <w:p w14:paraId="4EAE25E6">
            <w:pPr>
              <w:numPr>
                <w:ilvl w:val="0"/>
                <w:numId w:val="2"/>
              </w:numPr>
              <w:autoSpaceDN w:val="0"/>
              <w:adjustRightInd w:val="0"/>
              <w:snapToGrid w:val="0"/>
              <w:spacing w:line="400" w:lineRule="exact"/>
              <w:ind w:left="420" w:hanging="420" w:firstLineChars="0"/>
              <w:jc w:val="left"/>
              <w:rPr>
                <w:rFonts w:hint="eastAsia" w:ascii="Calibri" w:hAnsi="Calibri" w:eastAsia="宋体" w:cs="宋体"/>
                <w:bCs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18"/>
                <w:highlight w:val="none"/>
                <w:lang w:bidi="ar"/>
              </w:rPr>
              <w:t>配合完成合规SDK的部署、联调与测试工作</w:t>
            </w:r>
          </w:p>
          <w:p w14:paraId="01B63D1D">
            <w:pPr>
              <w:numPr>
                <w:ilvl w:val="0"/>
                <w:numId w:val="2"/>
              </w:numPr>
              <w:autoSpaceDN w:val="0"/>
              <w:adjustRightInd w:val="0"/>
              <w:snapToGrid w:val="0"/>
              <w:spacing w:line="400" w:lineRule="exact"/>
              <w:ind w:left="420" w:hanging="420" w:firstLineChars="0"/>
              <w:jc w:val="left"/>
              <w:rPr>
                <w:rFonts w:hint="eastAsia" w:ascii="Calibri" w:hAnsi="Calibri" w:eastAsia="宋体" w:cs="宋体"/>
                <w:bCs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18"/>
                <w:highlight w:val="none"/>
                <w:lang w:bidi="ar"/>
              </w:rPr>
              <w:t>确保网络、系统权限等集成环境满足SDK运行的基本要求</w:t>
            </w:r>
          </w:p>
          <w:p w14:paraId="33478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420" w:hanging="42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18"/>
                <w:highlight w:val="none"/>
                <w:lang w:bidi="ar"/>
              </w:rPr>
              <w:t>在贯标评价约定的测试周期内，保持SDK的稳定运行，并确保对正常广告业务流程无侵入性影响</w:t>
            </w:r>
          </w:p>
        </w:tc>
      </w:tr>
      <w:tr w14:paraId="3B98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9" w:type="dxa"/>
            <w:noWrap w:val="0"/>
            <w:vAlign w:val="center"/>
          </w:tcPr>
          <w:p w14:paraId="512B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bidi="ar"/>
              </w:rPr>
              <w:t>理解并同意该技术手段仅用于本次贯标合规性抽样评价，所有数据处理均符合相关法律法规及隐私保护要求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"/>
              </w:rPr>
              <w:t>。</w:t>
            </w:r>
          </w:p>
          <w:p w14:paraId="51004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val="en-US" w:eastAsia="zh-CN"/>
              </w:rPr>
              <w:t xml:space="preserve">                        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申请企业意见（盖章）</w:t>
            </w:r>
          </w:p>
          <w:p w14:paraId="0D32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1245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年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eastAsia="zh-CN"/>
              </w:rPr>
              <w:t xml:space="preserve">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eastAsia="zh-CN"/>
              </w:rPr>
              <w:t xml:space="preserve">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eastAsia="zh-CN"/>
              </w:rPr>
              <w:t xml:space="preserve">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月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eastAsia="zh-CN"/>
              </w:rPr>
              <w:t xml:space="preserve">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日</w:t>
            </w:r>
          </w:p>
        </w:tc>
      </w:tr>
      <w:tr w14:paraId="2FA0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9" w:type="dxa"/>
            <w:noWrap w:val="0"/>
            <w:vAlign w:val="center"/>
          </w:tcPr>
          <w:p w14:paraId="0957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/>
                <w:bCs w:val="0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/>
                <w:bCs w:val="0"/>
                <w:kern w:val="0"/>
                <w:sz w:val="24"/>
                <w:szCs w:val="18"/>
                <w:lang w:eastAsia="zh-CN"/>
              </w:rPr>
              <w:t>评价机构对企业数字广告技术层面合规性的评价</w:t>
            </w:r>
          </w:p>
          <w:p w14:paraId="7D55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（由轻变聚合实验室SDK内嵌轻量级AI巡检机器人做出）</w:t>
            </w:r>
          </w:p>
          <w:p w14:paraId="05A1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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一、评价概要</w:t>
            </w:r>
          </w:p>
          <w:p w14:paraId="5D8DE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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二、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分维度评价结果详情</w:t>
            </w:r>
          </w:p>
          <w:p w14:paraId="5D3EE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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（一）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素材清晰度</w:t>
            </w:r>
          </w:p>
          <w:p w14:paraId="0591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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（二）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版权与模板化</w:t>
            </w:r>
          </w:p>
          <w:p w14:paraId="6F049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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（三）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违禁词检测</w:t>
            </w:r>
          </w:p>
          <w:p w14:paraId="5ACCE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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（四）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敏感元素</w:t>
            </w:r>
          </w:p>
          <w:p w14:paraId="11F7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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（五）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关键信息完整性</w:t>
            </w:r>
          </w:p>
          <w:p w14:paraId="039B8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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（六）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负面场景关联</w:t>
            </w:r>
          </w:p>
          <w:p w14:paraId="1314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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（七）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敏感标签命中</w:t>
            </w:r>
          </w:p>
          <w:p w14:paraId="6A11E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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（八）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交互设计明确性</w:t>
            </w:r>
          </w:p>
          <w:p w14:paraId="26C49735">
            <w:pPr>
              <w:autoSpaceDN w:val="0"/>
              <w:adjustRightInd w:val="0"/>
              <w:snapToGrid w:val="0"/>
              <w:spacing w:line="400" w:lineRule="exact"/>
              <w:ind w:firstLine="240" w:firstLineChars="100"/>
              <w:jc w:val="left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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三、亮点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与建议</w:t>
            </w:r>
          </w:p>
          <w:p w14:paraId="5C5671CE">
            <w:pPr>
              <w:autoSpaceDN w:val="0"/>
              <w:adjustRightInd w:val="0"/>
              <w:snapToGrid w:val="0"/>
              <w:spacing w:line="400" w:lineRule="exact"/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</w:p>
          <w:p w14:paraId="718A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评价机构意见（盖章）</w:t>
            </w:r>
          </w:p>
          <w:p w14:paraId="0965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533C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年</w:t>
            </w:r>
            <w:r>
              <w:rPr>
                <w:rFonts w:hint="eastAsia" w:cs="宋体"/>
                <w:bCs/>
                <w:kern w:val="0"/>
                <w:sz w:val="24"/>
                <w:szCs w:val="18"/>
                <w:u w:val="single"/>
              </w:rPr>
              <w:t xml:space="preserve">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月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日</w:t>
            </w:r>
          </w:p>
        </w:tc>
      </w:tr>
    </w:tbl>
    <w:p w14:paraId="7F3A45F1">
      <w:pPr>
        <w:pStyle w:val="2"/>
      </w:pPr>
    </w:p>
    <w:p w14:paraId="73E6C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CB9F9C"/>
    <w:multiLevelType w:val="singleLevel"/>
    <w:tmpl w:val="D8CB9F9C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BE54071"/>
    <w:multiLevelType w:val="singleLevel"/>
    <w:tmpl w:val="EBE54071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002A7"/>
    <w:rsid w:val="648002A7"/>
    <w:rsid w:val="77F0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5">
    <w:name w:val="Table Grid"/>
    <w:basedOn w:val="4"/>
    <w:qFormat/>
    <w:uiPriority w:val="39"/>
    <w:rPr>
      <w:rFonts w:hint="eastAsia" w:ascii="宋体" w:hAnsi="等线" w:eastAsia="等线" w:cs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样式2"/>
    <w:basedOn w:val="2"/>
    <w:qFormat/>
    <w:uiPriority w:val="0"/>
    <w:pPr>
      <w:spacing w:line="360" w:lineRule="auto"/>
    </w:pPr>
    <w:rPr>
      <w:rFonts w:hint="eastAsia" w:ascii="黑体" w:hAnsi="黑体" w:eastAsia="黑体" w:cs="Times New Roman"/>
      <w:b w:val="0"/>
      <w:bCs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2026-03-02T01:47:00Z</dcterms:created>
  <dc:creator>WPS_1527732945</dc:creator>
  <cp:lastModifiedBy>WPS_1527732945</cp:lastModifiedBy>
  <dcterms:modified xsi:type="dcterms:W3CDTF">2026-03-02T01:47:46Z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FE19E1845F124620B47363918CEB8B16_11</vt:lpwstr>
  </property>
  <property fmtid="{D5CDD505-2E9C-101B-9397-08002B2CF9AE}" pid="4" name="KSOTemplateDocerSaveRecord">
    <vt:lpwstr>eyJoZGlkIjoiMTk2MGRmNTI5MzAwOGFhNjQ1OTUyYzJjYWU4MDg5YjIiLCJ1c2VySWQiOiIzNzUwNDY1MDMifQ==</vt:lpwstr>
  </property>
</Properties>
</file>