
<file path=[Content_Types].xml><?xml version="1.0" encoding="utf-8"?>
<Types xmlns="http://schemas.openxmlformats.org/package/2006/content-types">
  <Default Extension="xml" ContentType="application/xml"/>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1"/>
        <w:framePr w:w="9091" w:h="7186" w:hRule="exact" w:wrap="around" w:vAnchor="page" w:hAnchor="page" w:x="1366" w:y="5851" w:anchorLock="1"/>
        <w:spacing w:after="0" w:line="240" w:lineRule="auto"/>
        <w:outlineLvl w:val="9"/>
        <w:rPr>
          <w:sz w:val="52"/>
          <w:szCs w:val="52"/>
        </w:rPr>
      </w:pPr>
      <w:r>
        <w:rPr>
          <w:rFonts w:hint="eastAsia"/>
          <w:sz w:val="52"/>
          <w:szCs w:val="52"/>
        </w:rPr>
        <w:t>可信数据服务</w:t>
      </w:r>
    </w:p>
    <w:p>
      <w:pPr>
        <w:pStyle w:val="42"/>
        <w:framePr w:w="9091" w:h="7186" w:hRule="exact" w:wrap="around" w:vAnchor="page" w:hAnchor="page" w:x="1366" w:y="5851" w:anchorLock="1"/>
        <w:ind w:firstLine="0" w:firstLineChars="0"/>
        <w:jc w:val="center"/>
        <w:rPr>
          <w:rFonts w:ascii="黑体" w:hAnsi="黑体" w:eastAsia="黑体"/>
          <w:sz w:val="52"/>
          <w:szCs w:val="52"/>
        </w:rPr>
      </w:pPr>
      <w:r>
        <w:rPr>
          <w:rFonts w:hint="eastAsia" w:ascii="黑体" w:hAnsi="黑体" w:eastAsia="黑体"/>
          <w:sz w:val="52"/>
          <w:szCs w:val="52"/>
        </w:rPr>
        <w:t>多方数据</w:t>
      </w:r>
      <w:bookmarkStart w:id="203" w:name="_GoBack"/>
      <w:bookmarkEnd w:id="203"/>
      <w:r>
        <w:rPr>
          <w:rFonts w:hint="eastAsia" w:ascii="黑体" w:hAnsi="黑体" w:eastAsia="黑体"/>
          <w:sz w:val="52"/>
          <w:szCs w:val="52"/>
        </w:rPr>
        <w:t>价值挖掘体系框架</w:t>
      </w:r>
    </w:p>
    <w:p>
      <w:pPr>
        <w:pStyle w:val="158"/>
        <w:framePr w:hAnchor="page" w:x="1424" w:y="14117"/>
      </w:pPr>
      <w:bookmarkStart w:id="0" w:name="FY"/>
      <w:r>
        <w:rPr>
          <w:rFonts w:ascii="黑体"/>
        </w:rPr>
        <mc:AlternateContent>
          <mc:Choice Requires="wps">
            <w:drawing>
              <wp:anchor distT="0" distB="0" distL="114300" distR="114300" simplePos="0" relativeHeight="251661312" behindDoc="0" locked="1" layoutInCell="1" allowOverlap="1">
                <wp:simplePos x="0" y="0"/>
                <wp:positionH relativeFrom="column">
                  <wp:align>center</wp:align>
                </wp:positionH>
                <wp:positionV relativeFrom="page">
                  <wp:posOffset>9353550</wp:posOffset>
                </wp:positionV>
                <wp:extent cx="6120130" cy="635"/>
                <wp:effectExtent l="7620" t="9525" r="6350" b="8890"/>
                <wp:wrapNone/>
                <wp:docPr id="5" name="Line 46"/>
                <wp:cNvGraphicFramePr/>
                <a:graphic xmlns:a="http://schemas.openxmlformats.org/drawingml/2006/main">
                  <a:graphicData uri="http://schemas.microsoft.com/office/word/2010/wordprocessingShape">
                    <wps:wsp>
                      <wps:cNvCnPr>
                        <a:cxnSpLocks noChangeShapeType="1"/>
                      </wps:cNvCnPr>
                      <wps:spPr bwMode="auto">
                        <a:xfrm>
                          <a:off x="0" y="0"/>
                          <a:ext cx="6120130" cy="635"/>
                        </a:xfrm>
                        <a:prstGeom prst="line">
                          <a:avLst/>
                        </a:prstGeom>
                        <a:noFill/>
                        <a:ln w="9525">
                          <a:solidFill>
                            <a:srgbClr val="000000"/>
                          </a:solidFill>
                          <a:round/>
                        </a:ln>
                      </wps:spPr>
                      <wps:bodyPr/>
                    </wps:wsp>
                  </a:graphicData>
                </a:graphic>
              </wp:anchor>
            </w:drawing>
          </mc:Choice>
          <mc:Fallback>
            <w:pict>
              <v:line id="Line 46" o:spid="_x0000_s1026" o:spt="20" style="position:absolute;left:0pt;margin-top:736.5pt;height:0.05pt;width:481.9pt;mso-position-horizontal:center;mso-position-vertical-relative:page;z-index:251661312;mso-width-relative:page;mso-height-relative:page;" filled="f" stroked="t" coordsize="21600,21600" o:gfxdata="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rjWV+&#10;1gAAAAoBAAAPAAAAAAAAAAEAIAAAACIAAABkcnMvZG93bnJldi54bWxQSwECFAAUAAAACACHTuJA&#10;h/BLibEBAABUAwAADgAAAAAAAAABACAAAAAlAQAAZHJzL2Uyb0RvYy54bWxQSwUGAAAAAAYABgBZ&#10;AQAASAUAAAAA&#10;">
                <v:fill on="f" focussize="0,0"/>
                <v:stroke color="#000000" joinstyle="round"/>
                <v:imagedata o:title=""/>
                <o:lock v:ext="edit" aspectratio="f"/>
                <w10:anchorlock/>
              </v:line>
            </w:pict>
          </mc:Fallback>
        </mc:AlternateContent>
      </w:r>
      <w:r>
        <w:rPr>
          <w:rFonts w:ascii="黑体"/>
        </w:rPr>
        <w:fldChar w:fldCharType="begin">
          <w:ffData>
            <w:name w:val="FY"/>
            <w:enabled/>
            <w:calcOnExit w:val="0"/>
            <w:textInput>
              <w:default w:val="XXXX"/>
              <w:maxLength w:val="4"/>
            </w:textInput>
          </w:ffData>
        </w:fldChar>
      </w:r>
      <w:r>
        <w:rPr>
          <w:rFonts w:ascii="黑体"/>
        </w:rPr>
        <w:instrText xml:space="preserve"> FORMTEXT </w:instrText>
      </w:r>
      <w:r>
        <w:rPr>
          <w:rFonts w:ascii="黑体"/>
        </w:rPr>
        <w:fldChar w:fldCharType="separate"/>
      </w:r>
      <w:r>
        <w:rPr>
          <w:rFonts w:ascii="黑体"/>
        </w:rPr>
        <w:t>XXXX</w:t>
      </w:r>
      <w:r>
        <w:rPr>
          <w:rFonts w:ascii="黑体"/>
        </w:rPr>
        <w:fldChar w:fldCharType="end"/>
      </w:r>
      <w:bookmarkEnd w:id="0"/>
      <w:r>
        <w:t xml:space="preserve"> </w:t>
      </w:r>
      <w:r>
        <w:rPr>
          <w:rFonts w:ascii="黑体"/>
        </w:rPr>
        <w:t>-</w:t>
      </w:r>
      <w:r>
        <w:t xml:space="preserve"> </w:t>
      </w:r>
      <w:r>
        <w:rPr>
          <w:rFonts w:ascii="黑体"/>
        </w:rPr>
        <w:fldChar w:fldCharType="begin">
          <w:ffData>
            <w:name w:val="FM"/>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r>
        <w:t xml:space="preserve"> </w:t>
      </w:r>
      <w:r>
        <w:rPr>
          <w:rFonts w:ascii="黑体"/>
        </w:rPr>
        <w:t>-</w:t>
      </w:r>
      <w:r>
        <w:t xml:space="preserve"> </w:t>
      </w:r>
      <w:bookmarkStart w:id="1" w:name="FD"/>
      <w:r>
        <w:rPr>
          <w:rFonts w:ascii="黑体"/>
        </w:rPr>
        <w:fldChar w:fldCharType="begin">
          <w:ffData>
            <w:name w:val="FD"/>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1"/>
      <w:r>
        <w:rPr>
          <w:rFonts w:hint="eastAsia"/>
        </w:rPr>
        <w:t>发布</w:t>
      </w:r>
    </w:p>
    <w:p>
      <w:pPr>
        <w:pStyle w:val="159"/>
        <w:framePr w:hAnchor="page" w:x="8221" w:y="14011"/>
      </w:pPr>
      <w:bookmarkStart w:id="2" w:name="SY"/>
      <w:r>
        <w:rPr>
          <w:rFonts w:ascii="黑体"/>
        </w:rPr>
        <w:fldChar w:fldCharType="begin">
          <w:ffData>
            <w:name w:val="SY"/>
            <w:enabled/>
            <w:calcOnExit w:val="0"/>
            <w:textInput>
              <w:default w:val="XXXX"/>
              <w:maxLength w:val="4"/>
            </w:textInput>
          </w:ffData>
        </w:fldChar>
      </w:r>
      <w:r>
        <w:rPr>
          <w:rFonts w:ascii="黑体"/>
        </w:rPr>
        <w:instrText xml:space="preserve"> FORMTEXT </w:instrText>
      </w:r>
      <w:r>
        <w:rPr>
          <w:rFonts w:ascii="黑体"/>
        </w:rPr>
        <w:fldChar w:fldCharType="separate"/>
      </w:r>
      <w:r>
        <w:rPr>
          <w:rFonts w:ascii="黑体"/>
        </w:rPr>
        <w:t>XXXX</w:t>
      </w:r>
      <w:r>
        <w:rPr>
          <w:rFonts w:ascii="黑体"/>
        </w:rPr>
        <w:fldChar w:fldCharType="end"/>
      </w:r>
      <w:bookmarkEnd w:id="2"/>
      <w:r>
        <w:t xml:space="preserve"> </w:t>
      </w:r>
      <w:r>
        <w:rPr>
          <w:rFonts w:ascii="黑体"/>
        </w:rPr>
        <w:t>-</w:t>
      </w:r>
      <w:r>
        <w:t xml:space="preserve"> </w:t>
      </w:r>
      <w:bookmarkStart w:id="3" w:name="SM"/>
      <w:r>
        <w:rPr>
          <w:rFonts w:ascii="黑体"/>
        </w:rPr>
        <w:fldChar w:fldCharType="begin">
          <w:ffData>
            <w:name w:val="SM"/>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3"/>
      <w:r>
        <w:t xml:space="preserve"> </w:t>
      </w:r>
      <w:r>
        <w:rPr>
          <w:rFonts w:ascii="黑体"/>
        </w:rPr>
        <w:t>-</w:t>
      </w:r>
      <w:r>
        <w:t xml:space="preserve"> </w:t>
      </w:r>
      <w:bookmarkStart w:id="4" w:name="SD"/>
      <w:r>
        <w:rPr>
          <w:rFonts w:ascii="黑体"/>
        </w:rPr>
        <w:fldChar w:fldCharType="begin">
          <w:ffData>
            <w:name w:val="SD"/>
            <w:enabled/>
            <w:calcOnExit w:val="0"/>
            <w:textInput>
              <w:default w:val="XX"/>
              <w:maxLength w:val="2"/>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4"/>
      <w:r>
        <w:rPr>
          <w:rFonts w:hint="eastAsia"/>
        </w:rPr>
        <w:t>实施</w:t>
      </w:r>
    </w:p>
    <w:p>
      <w:pPr>
        <w:framePr w:w="7547" w:hSpace="181" w:vSpace="181" w:wrap="around" w:vAnchor="page" w:hAnchor="page" w:x="2164" w:y="2851" w:anchorLock="1"/>
        <w:spacing w:line="0" w:lineRule="atLeast"/>
        <w:jc w:val="distribute"/>
        <w:rPr>
          <w:rFonts w:eastAsia="黑体"/>
          <w:spacing w:val="-40"/>
          <w:sz w:val="72"/>
          <w:szCs w:val="72"/>
        </w:rPr>
      </w:pPr>
      <w:r>
        <w:rPr>
          <w:rFonts w:hint="eastAsia" w:ascii="黑体" w:eastAsia="黑体"/>
          <w:spacing w:val="-40"/>
          <w:sz w:val="72"/>
          <w:szCs w:val="72"/>
        </w:rPr>
        <w:t>团体标准</w:t>
      </w:r>
    </w:p>
    <w:p>
      <w:pPr>
        <w:framePr w:w="8917" w:h="1242" w:hRule="exact" w:hSpace="284" w:wrap="around" w:vAnchor="page" w:hAnchor="page" w:x="1586" w:y="3709" w:anchorLock="1"/>
        <w:spacing w:before="357" w:line="280" w:lineRule="exact"/>
        <w:jc w:val="right"/>
        <w:rPr>
          <w:rFonts w:ascii="黑体" w:hAnsi="黑体" w:eastAsia="黑体"/>
          <w:sz w:val="28"/>
          <w:szCs w:val="28"/>
        </w:rPr>
      </w:pPr>
      <w:r>
        <w:rPr>
          <w:rFonts w:hint="eastAsia" w:ascii="黑体" w:hAnsi="黑体" w:eastAsia="黑体"/>
          <w:sz w:val="28"/>
          <w:szCs w:val="28"/>
        </w:rPr>
        <w:t>T/ISC XXXX</w:t>
      </w:r>
      <w:r>
        <w:rPr>
          <w:rFonts w:ascii="黑体" w:hAnsi="黑体" w:eastAsia="黑体"/>
          <w:sz w:val="28"/>
          <w:szCs w:val="28"/>
        </w:rPr>
        <w:t>—</w:t>
      </w:r>
      <w:r>
        <w:rPr>
          <w:rFonts w:hint="eastAsia" w:ascii="黑体" w:hAnsi="黑体" w:eastAsia="黑体"/>
          <w:sz w:val="28"/>
          <w:szCs w:val="28"/>
        </w:rPr>
        <w:t>XXXX</w:t>
      </w:r>
    </w:p>
    <w:tbl>
      <w:tblPr>
        <w:tblStyle w:val="56"/>
        <w:tblW w:w="0" w:type="auto"/>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shd w:val="clear" w:color="000000" w:fill="000000"/>
        <w:tblLayout w:type="fixed"/>
        <w:tblCellMar>
          <w:top w:w="0" w:type="dxa"/>
          <w:left w:w="0" w:type="dxa"/>
          <w:bottom w:w="0" w:type="dxa"/>
          <w:right w:w="0" w:type="dxa"/>
        </w:tblCellMar>
      </w:tblPr>
      <w:tblGrid>
        <w:gridCol w:w="360"/>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c>
          <w:tcPr>
            <w:tcW w:w="360" w:type="dxa"/>
            <w:tcBorders>
              <w:top w:val="nil"/>
              <w:left w:val="nil"/>
              <w:bottom w:val="nil"/>
              <w:right w:val="nil"/>
              <w:tl2br w:val="nil"/>
              <w:tr2bl w:val="nil"/>
            </w:tcBorders>
            <w:shd w:val="clear" w:color="auto" w:fill="auto"/>
          </w:tcPr>
          <w:p>
            <w:pPr>
              <w:framePr w:w="8917" w:h="1242" w:hRule="exact" w:hSpace="284" w:wrap="around" w:vAnchor="page" w:hAnchor="page" w:x="1586" w:y="3709" w:anchorLock="1"/>
              <w:spacing w:before="57" w:line="280" w:lineRule="exact"/>
              <w:jc w:val="right"/>
              <w:rPr>
                <w:szCs w:val="21"/>
              </w:rPr>
            </w:pPr>
            <w:r>
              <w:rPr>
                <w:rFonts w:ascii="黑体" w:eastAsia="黑体"/>
                <w:sz w:val="28"/>
                <w:szCs w:val="28"/>
              </w:rPr>
              <mc:AlternateContent>
                <mc:Choice Requires="wps">
                  <w:drawing>
                    <wp:anchor distT="0" distB="0" distL="114300" distR="114300" simplePos="0" relativeHeight="251660288" behindDoc="0" locked="0" layoutInCell="1" allowOverlap="1">
                      <wp:simplePos x="0" y="0"/>
                      <wp:positionH relativeFrom="column">
                        <wp:posOffset>5080</wp:posOffset>
                      </wp:positionH>
                      <wp:positionV relativeFrom="paragraph">
                        <wp:posOffset>197485</wp:posOffset>
                      </wp:positionV>
                      <wp:extent cx="5681345" cy="635"/>
                      <wp:effectExtent l="20955" t="13335" r="12700" b="14605"/>
                      <wp:wrapNone/>
                      <wp:docPr id="4" name="Straight Connector 45"/>
                      <wp:cNvGraphicFramePr/>
                      <a:graphic xmlns:a="http://schemas.openxmlformats.org/drawingml/2006/main">
                        <a:graphicData uri="http://schemas.microsoft.com/office/word/2010/wordprocessingShape">
                          <wps:wsp>
                            <wps:cNvCnPr>
                              <a:cxnSpLocks noChangeShapeType="1"/>
                            </wps:cNvCnPr>
                            <wps:spPr bwMode="auto">
                              <a:xfrm>
                                <a:off x="0" y="0"/>
                                <a:ext cx="5681345" cy="635"/>
                              </a:xfrm>
                              <a:prstGeom prst="straightConnector1">
                                <a:avLst/>
                              </a:prstGeom>
                              <a:noFill/>
                              <a:ln w="25400">
                                <a:solidFill>
                                  <a:srgbClr val="000000"/>
                                </a:solidFill>
                                <a:round/>
                              </a:ln>
                            </wps:spPr>
                            <wps:bodyPr/>
                          </wps:wsp>
                        </a:graphicData>
                      </a:graphic>
                    </wp:anchor>
                  </w:drawing>
                </mc:Choice>
                <mc:Fallback>
                  <w:pict>
                    <v:shape id="Straight Connector 45" o:spid="_x0000_s1026" o:spt="32" type="#_x0000_t32" style="position:absolute;left:0pt;margin-left:0.4pt;margin-top:15.55pt;height:0.05pt;width:447.35pt;z-index:251660288;mso-width-relative:page;mso-height-relative:page;" filled="f" stroked="t" coordsize="21600,21600" o:gfxdata="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v0Br30wAAAAYBAAAPAAAAAAAAAAEAIAAAACIAAABkcnMvZG93bnJldi54bWxQSwEC&#10;FAAUAAAACACHTuJALmSkrMABAABxAwAADgAAAAAAAAABACAAAAAiAQAAZHJzL2Uyb0RvYy54bWxQ&#10;SwUGAAAAAAYABgBZAQAAVAUAAAAA&#10;">
                      <v:fill on="f" focussize="0,0"/>
                      <v:stroke weight="2pt" color="#000000" joinstyle="round"/>
                      <v:imagedata o:title=""/>
                      <o:lock v:ext="edit" aspectratio="f"/>
                    </v:shape>
                  </w:pict>
                </mc:Fallback>
              </mc:AlternateConten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shd w:val="clear" w:color="000000" w:fill="000000"/>
          <w:tblCellMar>
            <w:top w:w="0" w:type="dxa"/>
            <w:left w:w="0" w:type="dxa"/>
            <w:bottom w:w="0" w:type="dxa"/>
            <w:right w:w="0" w:type="dxa"/>
          </w:tblCellMar>
        </w:tblPrEx>
        <w:tc>
          <w:tcPr>
            <w:tcW w:w="360" w:type="dxa"/>
            <w:tcBorders>
              <w:top w:val="nil"/>
              <w:left w:val="nil"/>
              <w:bottom w:val="nil"/>
              <w:right w:val="nil"/>
              <w:tl2br w:val="nil"/>
              <w:tr2bl w:val="nil"/>
            </w:tcBorders>
            <w:shd w:val="clear" w:color="auto" w:fill="auto"/>
          </w:tcPr>
          <w:p>
            <w:pPr>
              <w:framePr w:w="8917" w:h="1242" w:hRule="exact" w:hSpace="284" w:wrap="around" w:vAnchor="page" w:hAnchor="page" w:x="1586" w:y="3709" w:anchorLock="1"/>
              <w:spacing w:before="57" w:line="280" w:lineRule="exact"/>
              <w:jc w:val="right"/>
              <w:rPr>
                <w:szCs w:val="21"/>
              </w:rPr>
            </w:pPr>
            <w:r>
              <w:rPr>
                <w:szCs w:val="21"/>
              </w:rPr>
              <mc:AlternateContent>
                <mc:Choice Requires="wps">
                  <w:drawing>
                    <wp:anchor distT="0" distB="0" distL="114300" distR="114300" simplePos="0" relativeHeight="251659264" behindDoc="1" locked="0" layoutInCell="1" allowOverlap="1">
                      <wp:simplePos x="0" y="0"/>
                      <wp:positionH relativeFrom="column">
                        <wp:posOffset>4734560</wp:posOffset>
                      </wp:positionH>
                      <wp:positionV relativeFrom="paragraph">
                        <wp:posOffset>34290</wp:posOffset>
                      </wp:positionV>
                      <wp:extent cx="1143000" cy="228600"/>
                      <wp:effectExtent l="0" t="2540" r="2540" b="0"/>
                      <wp:wrapNone/>
                      <wp:docPr id="3" name="DT"/>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a:noFill/>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DT" o:spid="_x0000_s1026" o:spt="1" style="position:absolute;left:0pt;margin-left:372.8pt;margin-top:2.7pt;height:18pt;width:90pt;z-index:-251657216;mso-width-relative:page;mso-height-relative:page;" fillcolor="#FFFFFF" filled="t" stroked="f" coordsize="21600,21600" o:gfxdata="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HmDyy9YAAAAIAQAADwAAAAAAAAABACAAAAAiAAAAZHJzL2Rvd25yZXYueG1sUEsBAhQA&#10;FAAAAAgAh07iQMJXzDX0AQAA3QMAAA4AAAAAAAAAAQAgAAAAJQEAAGRycy9lMm9Eb2MueG1sUEsF&#10;BgAAAAAGAAYAWQEAAIsFAAAAAA==&#10;">
                      <v:fill on="t" focussize="0,0"/>
                      <v:stroke on="f"/>
                      <v:imagedata o:title=""/>
                      <o:lock v:ext="edit" aspectratio="f"/>
                      <v:textbox>
                        <w:txbxContent>
                          <w:p>
                            <w:pPr>
                              <w:jc w:val="center"/>
                            </w:pPr>
                          </w:p>
                        </w:txbxContent>
                      </v:textbox>
                    </v:rect>
                  </w:pict>
                </mc:Fallback>
              </mc:AlternateContent>
            </w:r>
          </w:p>
        </w:tc>
      </w:tr>
    </w:tbl>
    <w:p>
      <w:pPr>
        <w:framePr w:w="8917" w:h="1242" w:hRule="exact" w:hSpace="284" w:wrap="around" w:vAnchor="page" w:hAnchor="page" w:x="1586" w:y="3709" w:anchorLock="1"/>
        <w:spacing w:before="357" w:line="280" w:lineRule="exact"/>
        <w:jc w:val="right"/>
        <w:rPr>
          <w:rFonts w:ascii="黑体" w:eastAsia="黑体"/>
          <w:sz w:val="28"/>
          <w:szCs w:val="28"/>
        </w:rPr>
      </w:pPr>
    </w:p>
    <w:p>
      <w:pPr>
        <w:framePr w:w="8917" w:h="1242" w:hRule="exact" w:hSpace="284" w:wrap="around" w:vAnchor="page" w:hAnchor="page" w:x="1586" w:y="3709" w:anchorLock="1"/>
        <w:spacing w:before="357" w:line="280" w:lineRule="exact"/>
        <w:jc w:val="right"/>
        <w:rPr>
          <w:rFonts w:ascii="黑体" w:eastAsia="黑体"/>
          <w:sz w:val="28"/>
          <w:szCs w:val="28"/>
        </w:rPr>
      </w:pPr>
    </w:p>
    <w:p>
      <w:pPr>
        <w:pStyle w:val="140"/>
        <w:framePr/>
        <w:ind w:firstLine="1463" w:firstLineChars="350"/>
        <w:jc w:val="both"/>
        <w:rPr>
          <w:rFonts w:hAnsi="黑体"/>
        </w:rPr>
      </w:pPr>
      <w:r>
        <w:rPr>
          <w:rFonts w:hint="eastAsia" w:hAnsi="黑体"/>
        </w:rPr>
        <w:t xml:space="preserve">中 国 互 联 网 协 会   </w:t>
      </w:r>
      <w:r>
        <w:rPr>
          <w:rStyle w:val="250"/>
          <w:rFonts w:hint="eastAsia" w:hAnsi="黑体"/>
        </w:rPr>
        <w:t>发布</w:t>
      </w:r>
    </w:p>
    <w:p>
      <w:pPr>
        <w:pStyle w:val="42"/>
        <w:ind w:firstLine="0" w:firstLineChars="0"/>
        <w:rPr>
          <w:szCs w:val="21"/>
        </w:rPr>
      </w:pPr>
      <w:r>
        <w:rPr>
          <w:rFonts w:hint="eastAsia"/>
          <w:szCs w:val="21"/>
        </w:rPr>
        <w:t xml:space="preserve">ICS </w:t>
      </w:r>
    </w:p>
    <w:p>
      <w:pPr>
        <w:pStyle w:val="110"/>
        <w:framePr w:w="9091" w:h="5961" w:hRule="exact" w:vAnchor="page" w:hAnchor="page" w:x="1271" w:y="8351"/>
        <w:rPr>
          <w:rFonts w:ascii="Times New Roman" w:eastAsia="黑体"/>
        </w:rPr>
      </w:pPr>
      <w:r>
        <w:rPr>
          <w:rFonts w:hint="eastAsia" w:ascii="Times New Roman" w:eastAsia="黑体"/>
        </w:rPr>
        <w:t>Trus</w:t>
      </w:r>
      <w:r>
        <w:rPr>
          <w:rFonts w:ascii="Times New Roman" w:eastAsia="黑体"/>
        </w:rPr>
        <w:t>ted data service</w:t>
      </w:r>
      <w:r>
        <w:rPr>
          <w:rFonts w:hint="eastAsia" w:ascii="黑体" w:hAnsi="黑体" w:eastAsia="黑体"/>
        </w:rPr>
        <w:t>-</w:t>
      </w:r>
      <w:r>
        <w:rPr>
          <w:rFonts w:ascii="Times New Roman" w:eastAsia="黑体"/>
        </w:rPr>
        <w:t>Multi-party value mining system framework</w:t>
      </w:r>
    </w:p>
    <w:tbl>
      <w:tblPr>
        <w:tblStyle w:val="56"/>
        <w:tblW w:w="9356" w:type="dxa"/>
        <w:tblInd w:w="0" w:type="dxa"/>
        <w:tblLayout w:type="fixed"/>
        <w:tblCellMar>
          <w:top w:w="0" w:type="dxa"/>
          <w:left w:w="0" w:type="dxa"/>
          <w:bottom w:w="0" w:type="dxa"/>
          <w:right w:w="0" w:type="dxa"/>
        </w:tblCellMar>
      </w:tblPr>
      <w:tblGrid>
        <w:gridCol w:w="9356"/>
      </w:tblGrid>
      <w:tr>
        <w:tblPrEx>
          <w:tblCellMar>
            <w:top w:w="0" w:type="dxa"/>
            <w:left w:w="0" w:type="dxa"/>
            <w:bottom w:w="0" w:type="dxa"/>
            <w:right w:w="0" w:type="dxa"/>
          </w:tblCellMar>
        </w:tblPrEx>
        <w:tc>
          <w:tcPr>
            <w:tcW w:w="9356" w:type="dxa"/>
            <w:shd w:val="clear" w:color="auto" w:fill="auto"/>
          </w:tcPr>
          <w:p>
            <w:pPr>
              <w:pStyle w:val="111"/>
              <w:framePr w:w="9091" w:h="5961" w:hRule="exact" w:vAnchor="page" w:hAnchor="page" w:x="1271" w:y="8351"/>
            </w:pPr>
            <w:r>
              <mc:AlternateContent>
                <mc:Choice Requires="wps">
                  <w:drawing>
                    <wp:anchor distT="0" distB="0" distL="114300" distR="114300" simplePos="0" relativeHeight="251658240" behindDoc="1" locked="1" layoutInCell="1" allowOverlap="1">
                      <wp:simplePos x="0" y="0"/>
                      <wp:positionH relativeFrom="column">
                        <wp:posOffset>2200910</wp:posOffset>
                      </wp:positionH>
                      <wp:positionV relativeFrom="paragraph">
                        <wp:posOffset>4281805</wp:posOffset>
                      </wp:positionV>
                      <wp:extent cx="1905000" cy="254000"/>
                      <wp:effectExtent l="0" t="0" r="4445" b="0"/>
                      <wp:wrapNone/>
                      <wp:docPr id="6" name="RQ"/>
                      <wp:cNvGraphicFramePr/>
                      <a:graphic xmlns:a="http://schemas.openxmlformats.org/drawingml/2006/main">
                        <a:graphicData uri="http://schemas.microsoft.com/office/word/2010/wordprocessingShape">
                          <wps:wsp>
                            <wps:cNvSpPr>
                              <a:spLocks noChangeArrowheads="1"/>
                            </wps:cNvSpPr>
                            <wps:spPr bwMode="auto">
                              <a:xfrm>
                                <a:off x="0" y="0"/>
                                <a:ext cx="1905000" cy="254000"/>
                              </a:xfrm>
                              <a:prstGeom prst="rect">
                                <a:avLst/>
                              </a:prstGeom>
                              <a:solidFill>
                                <a:srgbClr val="FFFFFF"/>
                              </a:solidFill>
                              <a:ln>
                                <a:noFill/>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Q" o:spid="_x0000_s1026" o:spt="1" style="position:absolute;left:0pt;margin-left:173.3pt;margin-top:337.15pt;height:20pt;width:150pt;z-index:-251658240;mso-width-relative:page;mso-height-relative:page;" fillcolor="#FFFFFF" filled="t" stroked="f" coordsize="21600,21600" o:gfxdata="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39f34NcAAAALAQAADwAAAAAAAAABACAAAAAiAAAAZHJzL2Rvd25yZXYueG1sUEsBAhQA&#10;FAAAAAgAh07iQN6icsTzAQAA3QMAAA4AAAAAAAAAAQAgAAAAJgEAAGRycy9lMm9Eb2MueG1sUEsF&#10;BgAAAAAGAAYAWQEAAIsFAAAAAA==&#10;">
                      <v:fill on="t" focussize="0,0"/>
                      <v:stroke on="f"/>
                      <v:imagedata o:title=""/>
                      <o:lock v:ext="edit" aspectratio="f"/>
                      <v:textbox>
                        <w:txbxContent>
                          <w:p>
                            <w:pPr>
                              <w:jc w:val="center"/>
                            </w:pPr>
                          </w:p>
                        </w:txbxContent>
                      </v:textbox>
                      <w10:anchorlock/>
                    </v:rect>
                  </w:pict>
                </mc:Fallback>
              </mc:AlternateContent>
            </w:r>
          </w:p>
        </w:tc>
      </w:tr>
      <w:tr>
        <w:tblPrEx>
          <w:tblCellMar>
            <w:top w:w="0" w:type="dxa"/>
            <w:left w:w="0" w:type="dxa"/>
            <w:bottom w:w="0" w:type="dxa"/>
            <w:right w:w="0" w:type="dxa"/>
          </w:tblCellMar>
        </w:tblPrEx>
        <w:tc>
          <w:tcPr>
            <w:tcW w:w="9356" w:type="dxa"/>
            <w:shd w:val="clear" w:color="auto" w:fill="auto"/>
          </w:tcPr>
          <w:p>
            <w:pPr>
              <w:pStyle w:val="112"/>
              <w:framePr w:w="9091" w:h="5961" w:hRule="exact" w:vAnchor="page" w:hAnchor="page" w:x="1271" w:y="8351"/>
            </w:pPr>
            <w:r>
              <w:rPr>
                <w:rFonts w:hint="eastAsia"/>
              </w:rPr>
              <mc:AlternateContent>
                <mc:Choice Requires="wps">
                  <w:drawing>
                    <wp:anchor distT="0" distB="0" distL="114300" distR="114300" simplePos="0" relativeHeight="251663360" behindDoc="0" locked="1" layoutInCell="1" allowOverlap="1">
                      <wp:simplePos x="0" y="0"/>
                      <wp:positionH relativeFrom="column">
                        <wp:posOffset>-85725</wp:posOffset>
                      </wp:positionH>
                      <wp:positionV relativeFrom="page">
                        <wp:posOffset>2944495</wp:posOffset>
                      </wp:positionV>
                      <wp:extent cx="6121400" cy="635"/>
                      <wp:effectExtent l="7620" t="13970" r="5080" b="13970"/>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6121400" cy="635"/>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6.75pt;margin-top:231.85pt;height:0.05pt;width:482pt;mso-position-vertical-relative:page;z-index:251663360;mso-width-relative:page;mso-height-relative:page;" filled="f" stroked="t" coordsize="21600,21600" o:gfxdata="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WBwcS2AAAAAsBAAAPAAAAAAAAAAEAIAAAACIAAABkcnMv&#10;ZG93bnJldi54bWxQSwECFAAUAAAACACHTuJAwVkXFMoBAABeAwAADgAAAAAAAAABACAAAAAnAQAA&#10;ZHJzL2Uyb0RvYy54bWxQSwUGAAAAAAYABgBZAQAAYwUAAAAA&#10;">
                      <v:fill on="f" focussize="0,0"/>
                      <v:stroke color="#000000" joinstyle="round"/>
                      <v:imagedata o:title=""/>
                      <o:lock v:ext="edit" aspectratio="f"/>
                      <w10:anchorlock/>
                    </v:line>
                  </w:pict>
                </mc:Fallback>
              </mc:AlternateContent>
            </w:r>
            <w:r>
              <w:rPr>
                <w:rFonts w:hint="eastAsia"/>
              </w:rPr>
              <w:t>（征求意见稿）</w:t>
            </w:r>
          </w:p>
        </w:tc>
      </w:tr>
    </w:tbl>
    <w:p>
      <w:pPr>
        <w:pStyle w:val="42"/>
        <w:ind w:firstLine="0" w:firstLineChars="0"/>
        <w:rPr>
          <w:szCs w:val="21"/>
        </w:rPr>
        <w:sectPr>
          <w:footerReference r:id="rId6" w:type="first"/>
          <w:footerReference r:id="rId4" w:type="default"/>
          <w:headerReference r:id="rId3" w:type="even"/>
          <w:footerReference r:id="rId5" w:type="even"/>
          <w:pgSz w:w="11906" w:h="16838"/>
          <w:pgMar w:top="851" w:right="1416" w:bottom="1134" w:left="1417" w:header="0" w:footer="0" w:gutter="0"/>
          <w:pgNumType w:start="1"/>
          <w:cols w:space="425" w:num="1"/>
          <w:docGrid w:type="lines" w:linePitch="312" w:charSpace="0"/>
        </w:sectPr>
      </w:pPr>
      <w:r>
        <w:rPr>
          <w:rFonts w:hint="eastAsia"/>
          <w:szCs w:val="21"/>
        </w:rPr>
        <w:t xml:space="preserve">L </w:t>
      </w:r>
    </w:p>
    <w:p>
      <w:pPr>
        <w:pStyle w:val="38"/>
        <w:spacing w:before="78" w:after="78"/>
        <w:jc w:val="center"/>
        <w:rPr>
          <w:b/>
          <w:bCs/>
          <w:sz w:val="28"/>
          <w:szCs w:val="28"/>
        </w:rPr>
      </w:pPr>
      <w:bookmarkStart w:id="5" w:name="_Toc384035954"/>
      <w:bookmarkStart w:id="6" w:name="_Toc384037601"/>
      <w:bookmarkStart w:id="7" w:name="_Toc320610972"/>
      <w:bookmarkStart w:id="8" w:name="_Toc23428671"/>
      <w:bookmarkStart w:id="9" w:name="_Toc25604358"/>
      <w:bookmarkStart w:id="10" w:name="_Toc277684846"/>
      <w:bookmarkStart w:id="11" w:name="_Toc283468367"/>
      <w:bookmarkStart w:id="12" w:name="_Toc396638942"/>
      <w:r>
        <w:rPr>
          <w:rFonts w:hint="eastAsia"/>
          <w:b/>
          <w:bCs/>
          <w:sz w:val="28"/>
          <w:szCs w:val="28"/>
        </w:rPr>
        <w:t>目</w:t>
      </w:r>
      <w:bookmarkStart w:id="13" w:name="BKML"/>
      <w:r>
        <w:rPr>
          <w:b/>
          <w:bCs/>
          <w:sz w:val="28"/>
          <w:szCs w:val="28"/>
        </w:rPr>
        <w:t>  </w:t>
      </w:r>
      <w:bookmarkEnd w:id="5"/>
      <w:bookmarkEnd w:id="6"/>
      <w:bookmarkEnd w:id="7"/>
      <w:bookmarkEnd w:id="13"/>
      <w:r>
        <w:rPr>
          <w:rFonts w:hint="eastAsia"/>
          <w:b/>
          <w:bCs/>
          <w:sz w:val="28"/>
          <w:szCs w:val="28"/>
        </w:rPr>
        <w:t>次</w:t>
      </w:r>
      <w:bookmarkEnd w:id="8"/>
      <w:bookmarkEnd w:id="9"/>
    </w:p>
    <w:p>
      <w:pPr>
        <w:pStyle w:val="38"/>
        <w:spacing w:before="78" w:after="78"/>
        <w:rPr>
          <w:rFonts w:asciiTheme="minorHAnsi" w:hAnsiTheme="minorHAnsi" w:eastAsiaTheme="minorEastAsia" w:cstheme="minorBidi"/>
          <w:szCs w:val="24"/>
        </w:rPr>
      </w:pPr>
      <w:r>
        <w:rPr>
          <w:rFonts w:ascii="黑体" w:eastAsia="黑体"/>
          <w:sz w:val="32"/>
        </w:rPr>
        <w:fldChar w:fldCharType="begin"/>
      </w:r>
      <w:r>
        <w:instrText xml:space="preserve"> TOC \o "1-3" \h \z \u </w:instrText>
      </w:r>
      <w:r>
        <w:rPr>
          <w:rFonts w:ascii="黑体" w:eastAsia="黑体"/>
          <w:sz w:val="32"/>
        </w:rPr>
        <w:fldChar w:fldCharType="separate"/>
      </w:r>
      <w:r>
        <w:fldChar w:fldCharType="begin"/>
      </w:r>
      <w:r>
        <w:instrText xml:space="preserve"> HYPERLINK \l "_Toc53409563" </w:instrText>
      </w:r>
      <w:r>
        <w:fldChar w:fldCharType="separate"/>
      </w:r>
      <w:r>
        <w:rPr>
          <w:rStyle w:val="66"/>
        </w:rPr>
        <w:t>前言</w:t>
      </w:r>
      <w:r>
        <w:tab/>
      </w:r>
      <w:r>
        <w:fldChar w:fldCharType="begin"/>
      </w:r>
      <w:r>
        <w:instrText xml:space="preserve"> PAGEREF _Toc53409563 \h </w:instrText>
      </w:r>
      <w:r>
        <w:fldChar w:fldCharType="separate"/>
      </w:r>
      <w:r>
        <w:t>II</w:t>
      </w:r>
      <w:r>
        <w:fldChar w:fldCharType="end"/>
      </w:r>
      <w:r>
        <w:fldChar w:fldCharType="end"/>
      </w:r>
    </w:p>
    <w:p>
      <w:pPr>
        <w:pStyle w:val="38"/>
        <w:spacing w:before="78" w:after="78"/>
        <w:rPr>
          <w:rFonts w:asciiTheme="minorHAnsi" w:hAnsiTheme="minorHAnsi" w:eastAsiaTheme="minorEastAsia" w:cstheme="minorBidi"/>
          <w:szCs w:val="24"/>
        </w:rPr>
      </w:pPr>
      <w:r>
        <w:fldChar w:fldCharType="begin"/>
      </w:r>
      <w:r>
        <w:instrText xml:space="preserve"> HYPERLINK \l "_Toc53409564" </w:instrText>
      </w:r>
      <w:r>
        <w:fldChar w:fldCharType="separate"/>
      </w:r>
      <w:r>
        <w:rPr>
          <w:rStyle w:val="66"/>
        </w:rPr>
        <w:t>引言</w:t>
      </w:r>
      <w:r>
        <w:tab/>
      </w:r>
      <w:r>
        <w:fldChar w:fldCharType="begin"/>
      </w:r>
      <w:r>
        <w:instrText xml:space="preserve"> PAGEREF _Toc53409564 \h </w:instrText>
      </w:r>
      <w:r>
        <w:fldChar w:fldCharType="separate"/>
      </w:r>
      <w:r>
        <w:t>III</w:t>
      </w:r>
      <w:r>
        <w:fldChar w:fldCharType="end"/>
      </w:r>
      <w:r>
        <w:fldChar w:fldCharType="end"/>
      </w:r>
    </w:p>
    <w:p>
      <w:pPr>
        <w:pStyle w:val="48"/>
        <w:rPr>
          <w:rFonts w:asciiTheme="minorHAnsi" w:hAnsiTheme="minorHAnsi" w:eastAsiaTheme="minorEastAsia" w:cstheme="minorBidi"/>
          <w:szCs w:val="24"/>
        </w:rPr>
      </w:pPr>
      <w:r>
        <w:fldChar w:fldCharType="begin"/>
      </w:r>
      <w:r>
        <w:instrText xml:space="preserve"> HYPERLINK \l "_Toc53409565" </w:instrText>
      </w:r>
      <w:r>
        <w:fldChar w:fldCharType="separate"/>
      </w:r>
      <w:r>
        <w:rPr>
          <w:rStyle w:val="66"/>
        </w:rPr>
        <w:t>1 范围</w:t>
      </w:r>
      <w:r>
        <w:tab/>
      </w:r>
      <w:r>
        <w:fldChar w:fldCharType="begin"/>
      </w:r>
      <w:r>
        <w:instrText xml:space="preserve"> PAGEREF _Toc53409565 \h </w:instrText>
      </w:r>
      <w:r>
        <w:fldChar w:fldCharType="separate"/>
      </w:r>
      <w:r>
        <w:t>1</w:t>
      </w:r>
      <w:r>
        <w:fldChar w:fldCharType="end"/>
      </w:r>
      <w:r>
        <w:fldChar w:fldCharType="end"/>
      </w:r>
    </w:p>
    <w:p>
      <w:pPr>
        <w:pStyle w:val="48"/>
        <w:rPr>
          <w:rFonts w:asciiTheme="minorHAnsi" w:hAnsiTheme="minorHAnsi" w:eastAsiaTheme="minorEastAsia" w:cstheme="minorBidi"/>
          <w:szCs w:val="24"/>
        </w:rPr>
      </w:pPr>
      <w:r>
        <w:fldChar w:fldCharType="begin"/>
      </w:r>
      <w:r>
        <w:instrText xml:space="preserve"> HYPERLINK \l "_Toc53409566" </w:instrText>
      </w:r>
      <w:r>
        <w:fldChar w:fldCharType="separate"/>
      </w:r>
      <w:r>
        <w:rPr>
          <w:rStyle w:val="66"/>
        </w:rPr>
        <w:t>2 规范性引用文件</w:t>
      </w:r>
      <w:r>
        <w:tab/>
      </w:r>
      <w:r>
        <w:fldChar w:fldCharType="begin"/>
      </w:r>
      <w:r>
        <w:instrText xml:space="preserve"> PAGEREF _Toc53409566 \h </w:instrText>
      </w:r>
      <w:r>
        <w:fldChar w:fldCharType="separate"/>
      </w:r>
      <w:r>
        <w:t>1</w:t>
      </w:r>
      <w:r>
        <w:fldChar w:fldCharType="end"/>
      </w:r>
      <w:r>
        <w:fldChar w:fldCharType="end"/>
      </w:r>
    </w:p>
    <w:p>
      <w:pPr>
        <w:pStyle w:val="48"/>
        <w:rPr>
          <w:rFonts w:asciiTheme="minorHAnsi" w:hAnsiTheme="minorHAnsi" w:eastAsiaTheme="minorEastAsia" w:cstheme="minorBidi"/>
          <w:szCs w:val="24"/>
        </w:rPr>
      </w:pPr>
      <w:r>
        <w:fldChar w:fldCharType="begin"/>
      </w:r>
      <w:r>
        <w:instrText xml:space="preserve"> HYPERLINK \l "_Toc53409567" </w:instrText>
      </w:r>
      <w:r>
        <w:fldChar w:fldCharType="separate"/>
      </w:r>
      <w:r>
        <w:rPr>
          <w:rStyle w:val="66"/>
        </w:rPr>
        <w:t>3 术语和定义</w:t>
      </w:r>
      <w:r>
        <w:tab/>
      </w:r>
      <w:r>
        <w:fldChar w:fldCharType="begin"/>
      </w:r>
      <w:r>
        <w:instrText xml:space="preserve"> PAGEREF _Toc53409567 \h </w:instrText>
      </w:r>
      <w:r>
        <w:fldChar w:fldCharType="separate"/>
      </w:r>
      <w:r>
        <w:t>1</w:t>
      </w:r>
      <w:r>
        <w:fldChar w:fldCharType="end"/>
      </w:r>
      <w:r>
        <w:fldChar w:fldCharType="end"/>
      </w:r>
    </w:p>
    <w:p>
      <w:pPr>
        <w:pStyle w:val="48"/>
        <w:rPr>
          <w:rFonts w:asciiTheme="minorHAnsi" w:hAnsiTheme="minorHAnsi" w:eastAsiaTheme="minorEastAsia" w:cstheme="minorBidi"/>
          <w:szCs w:val="24"/>
        </w:rPr>
      </w:pPr>
      <w:r>
        <w:fldChar w:fldCharType="begin"/>
      </w:r>
      <w:r>
        <w:instrText xml:space="preserve"> HYPERLINK \l "_Toc53409579" </w:instrText>
      </w:r>
      <w:r>
        <w:fldChar w:fldCharType="separate"/>
      </w:r>
      <w:r>
        <w:rPr>
          <w:rStyle w:val="66"/>
        </w:rPr>
        <w:t>4 可信体系框架</w:t>
      </w:r>
      <w:r>
        <w:tab/>
      </w:r>
      <w:r>
        <w:fldChar w:fldCharType="begin"/>
      </w:r>
      <w:r>
        <w:instrText xml:space="preserve"> PAGEREF _Toc53409579 \h </w:instrText>
      </w:r>
      <w:r>
        <w:fldChar w:fldCharType="separate"/>
      </w:r>
      <w:r>
        <w:t>2</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"_Toc53409580" </w:instrText>
      </w:r>
      <w:r>
        <w:fldChar w:fldCharType="separate"/>
      </w:r>
      <w:r>
        <w:rPr>
          <w:rStyle w:val="66"/>
        </w:rPr>
        <w:t>4.1 可信基本原则</w:t>
      </w:r>
      <w:r>
        <w:tab/>
      </w:r>
      <w:r>
        <w:fldChar w:fldCharType="begin"/>
      </w:r>
      <w:r>
        <w:instrText xml:space="preserve"> PAGEREF _Toc53409580 \h </w:instrText>
      </w:r>
      <w:r>
        <w:fldChar w:fldCharType="separate"/>
      </w:r>
      <w:r>
        <w:t>2</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"_Toc53409581" </w:instrText>
      </w:r>
      <w:r>
        <w:fldChar w:fldCharType="separate"/>
      </w:r>
      <w:r>
        <w:rPr>
          <w:rStyle w:val="66"/>
        </w:rPr>
        <w:t>4.2 多方数据价值挖掘的典型需求和可应用场景</w:t>
      </w:r>
      <w:r>
        <w:tab/>
      </w:r>
      <w:r>
        <w:fldChar w:fldCharType="begin"/>
      </w:r>
      <w:r>
        <w:instrText xml:space="preserve"> PAGEREF _Toc53409581 \h </w:instrText>
      </w:r>
      <w:r>
        <w:fldChar w:fldCharType="separate"/>
      </w:r>
      <w:r>
        <w:t>3</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"_Toc53409582" </w:instrText>
      </w:r>
      <w:r>
        <w:fldChar w:fldCharType="separate"/>
      </w:r>
      <w:r>
        <w:rPr>
          <w:rStyle w:val="66"/>
        </w:rPr>
        <w:t>4.3 多方数据价值挖掘可信体系的基本架构特点</w:t>
      </w:r>
      <w:r>
        <w:tab/>
      </w:r>
      <w:r>
        <w:fldChar w:fldCharType="begin"/>
      </w:r>
      <w:r>
        <w:instrText xml:space="preserve"> PAGEREF _Toc53409582 \h </w:instrText>
      </w:r>
      <w:r>
        <w:fldChar w:fldCharType="separate"/>
      </w:r>
      <w:r>
        <w:t>3</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"_Toc53409584" </w:instrText>
      </w:r>
      <w:r>
        <w:fldChar w:fldCharType="separate"/>
      </w:r>
      <w:r>
        <w:rPr>
          <w:rStyle w:val="66"/>
        </w:rPr>
        <w:t>4.4 可挖掘数据范围</w:t>
      </w:r>
      <w:r>
        <w:tab/>
      </w:r>
      <w:r>
        <w:fldChar w:fldCharType="begin"/>
      </w:r>
      <w:r>
        <w:instrText xml:space="preserve"> PAGEREF _Toc53409584 \h </w:instrText>
      </w:r>
      <w:r>
        <w:fldChar w:fldCharType="separate"/>
      </w:r>
      <w:r>
        <w:t>3</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"_Toc53409587" </w:instrText>
      </w:r>
      <w:r>
        <w:fldChar w:fldCharType="separate"/>
      </w:r>
      <w:r>
        <w:rPr>
          <w:rStyle w:val="66"/>
        </w:rPr>
        <w:t>4.5 确保多方数据价值挖掘可信的关键技术能力</w:t>
      </w:r>
      <w:r>
        <w:tab/>
      </w:r>
      <w:r>
        <w:fldChar w:fldCharType="begin"/>
      </w:r>
      <w:r>
        <w:instrText xml:space="preserve"> PAGEREF _Toc53409587 \h </w:instrText>
      </w:r>
      <w:r>
        <w:fldChar w:fldCharType="separate"/>
      </w:r>
      <w:r>
        <w:t>4</w:t>
      </w:r>
      <w:r>
        <w:fldChar w:fldCharType="end"/>
      </w:r>
      <w:r>
        <w:fldChar w:fldCharType="end"/>
      </w:r>
    </w:p>
    <w:p>
      <w:pPr>
        <w:pStyle w:val="48"/>
        <w:rPr>
          <w:rFonts w:asciiTheme="minorHAnsi" w:hAnsiTheme="minorHAnsi" w:eastAsiaTheme="minorEastAsia" w:cstheme="minorBidi"/>
          <w:szCs w:val="24"/>
        </w:rPr>
      </w:pPr>
      <w:r>
        <w:fldChar w:fldCharType="begin"/>
      </w:r>
      <w:r>
        <w:instrText xml:space="preserve"> HYPERLINK \l "_Toc53409596" </w:instrText>
      </w:r>
      <w:r>
        <w:fldChar w:fldCharType="separate"/>
      </w:r>
      <w:r>
        <w:rPr>
          <w:rStyle w:val="66"/>
        </w:rPr>
        <w:t>5 可信体系建设的基本要求</w:t>
      </w:r>
      <w:r>
        <w:tab/>
      </w:r>
      <w:r>
        <w:fldChar w:fldCharType="begin"/>
      </w:r>
      <w:r>
        <w:instrText xml:space="preserve"> PAGEREF _Toc53409596 \h </w:instrText>
      </w:r>
      <w:r>
        <w:fldChar w:fldCharType="separate"/>
      </w:r>
      <w:r>
        <w:t>5</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"_Toc53409597" </w:instrText>
      </w:r>
      <w:r>
        <w:fldChar w:fldCharType="separate"/>
      </w:r>
      <w:r>
        <w:rPr>
          <w:rStyle w:val="66"/>
        </w:rPr>
        <w:t>5.1 多方数据价值挖掘区域运营者的可信性要求</w:t>
      </w:r>
      <w:r>
        <w:tab/>
      </w:r>
      <w:r>
        <w:fldChar w:fldCharType="begin"/>
      </w:r>
      <w:r>
        <w:instrText xml:space="preserve"> PAGEREF _Toc53409597 \h </w:instrText>
      </w:r>
      <w:r>
        <w:fldChar w:fldCharType="separate"/>
      </w:r>
      <w:r>
        <w:t>5</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"_Toc53409598" </w:instrText>
      </w:r>
      <w:r>
        <w:fldChar w:fldCharType="separate"/>
      </w:r>
      <w:r>
        <w:rPr>
          <w:rStyle w:val="66"/>
        </w:rPr>
        <w:t>5.2 多方数据价值挖掘的申请流程</w:t>
      </w:r>
      <w:r>
        <w:tab/>
      </w:r>
      <w:r>
        <w:fldChar w:fldCharType="begin"/>
      </w:r>
      <w:r>
        <w:instrText xml:space="preserve"> PAGEREF _Toc53409598 \h </w:instrText>
      </w:r>
      <w:r>
        <w:fldChar w:fldCharType="separate"/>
      </w:r>
      <w:r>
        <w:t>5</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"_Toc53409599" </w:instrText>
      </w:r>
      <w:r>
        <w:fldChar w:fldCharType="separate"/>
      </w:r>
      <w:r>
        <w:rPr>
          <w:rStyle w:val="66"/>
        </w:rPr>
        <w:t>5.3 可挖掘数据进入挖掘区域的可信要求</w:t>
      </w:r>
      <w:r>
        <w:tab/>
      </w:r>
      <w:r>
        <w:fldChar w:fldCharType="begin"/>
      </w:r>
      <w:r>
        <w:instrText xml:space="preserve"> PAGEREF _Toc53409599 \h </w:instrText>
      </w:r>
      <w:r>
        <w:fldChar w:fldCharType="separate"/>
      </w:r>
      <w:r>
        <w:t>5</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"_Toc53409600" </w:instrText>
      </w:r>
      <w:r>
        <w:fldChar w:fldCharType="separate"/>
      </w:r>
      <w:r>
        <w:rPr>
          <w:rStyle w:val="66"/>
        </w:rPr>
        <w:t>5.4 挖掘区域中的可信要求</w:t>
      </w:r>
      <w:r>
        <w:tab/>
      </w:r>
      <w:r>
        <w:fldChar w:fldCharType="begin"/>
      </w:r>
      <w:r>
        <w:instrText xml:space="preserve"> PAGEREF _Toc53409600 \h </w:instrText>
      </w:r>
      <w:r>
        <w:fldChar w:fldCharType="separate"/>
      </w:r>
      <w:r>
        <w:t>5</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"_Toc53409601" </w:instrText>
      </w:r>
      <w:r>
        <w:fldChar w:fldCharType="separate"/>
      </w:r>
      <w:r>
        <w:rPr>
          <w:rStyle w:val="66"/>
        </w:rPr>
        <w:t>5.5 挖掘区域输出数据价值的可信要求</w:t>
      </w:r>
      <w:r>
        <w:tab/>
      </w:r>
      <w:r>
        <w:fldChar w:fldCharType="begin"/>
      </w:r>
      <w:r>
        <w:instrText xml:space="preserve"> PAGEREF _Toc53409601 \h </w:instrText>
      </w:r>
      <w:r>
        <w:fldChar w:fldCharType="separate"/>
      </w:r>
      <w:r>
        <w:t>6</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"_Toc53409602" </w:instrText>
      </w:r>
      <w:r>
        <w:fldChar w:fldCharType="separate"/>
      </w:r>
      <w:r>
        <w:rPr>
          <w:rStyle w:val="66"/>
        </w:rPr>
        <w:t>5.6 数据价值使用的可信要求</w:t>
      </w:r>
      <w:r>
        <w:tab/>
      </w:r>
      <w:r>
        <w:fldChar w:fldCharType="begin"/>
      </w:r>
      <w:r>
        <w:instrText xml:space="preserve"> PAGEREF _Toc53409602 \h </w:instrText>
      </w:r>
      <w:r>
        <w:fldChar w:fldCharType="separate"/>
      </w:r>
      <w:r>
        <w:t>6</w:t>
      </w:r>
      <w:r>
        <w:fldChar w:fldCharType="end"/>
      </w:r>
      <w:r>
        <w:fldChar w:fldCharType="end"/>
      </w:r>
    </w:p>
    <w:p>
      <w:pPr>
        <w:pStyle w:val="48"/>
        <w:rPr>
          <w:rFonts w:asciiTheme="minorHAnsi" w:hAnsiTheme="minorHAnsi" w:eastAsiaTheme="minorEastAsia" w:cstheme="minorBidi"/>
          <w:szCs w:val="24"/>
        </w:rPr>
      </w:pPr>
      <w:r>
        <w:fldChar w:fldCharType="begin"/>
      </w:r>
      <w:r>
        <w:instrText xml:space="preserve"> HYPERLINK \l "_Toc53409603" </w:instrText>
      </w:r>
      <w:r>
        <w:fldChar w:fldCharType="separate"/>
      </w:r>
      <w:r>
        <w:rPr>
          <w:rStyle w:val="66"/>
        </w:rPr>
        <w:t>6 可信体系保障的要求</w:t>
      </w:r>
      <w:r>
        <w:tab/>
      </w:r>
      <w:r>
        <w:fldChar w:fldCharType="begin"/>
      </w:r>
      <w:r>
        <w:instrText xml:space="preserve"> PAGEREF _Toc53409603 \h </w:instrText>
      </w:r>
      <w:r>
        <w:fldChar w:fldCharType="separate"/>
      </w:r>
      <w:r>
        <w:t>6</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"_Toc53409604" </w:instrText>
      </w:r>
      <w:r>
        <w:fldChar w:fldCharType="separate"/>
      </w:r>
      <w:r>
        <w:rPr>
          <w:rStyle w:val="66"/>
        </w:rPr>
        <w:t>6.1 组织人员保障</w:t>
      </w:r>
      <w:r>
        <w:tab/>
      </w:r>
      <w:r>
        <w:fldChar w:fldCharType="begin"/>
      </w:r>
      <w:r>
        <w:instrText xml:space="preserve"> PAGEREF _Toc53409604 \h </w:instrText>
      </w:r>
      <w:r>
        <w:fldChar w:fldCharType="separate"/>
      </w:r>
      <w:r>
        <w:t>6</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"_Toc53409605" </w:instrText>
      </w:r>
      <w:r>
        <w:fldChar w:fldCharType="separate"/>
      </w:r>
      <w:r>
        <w:rPr>
          <w:rStyle w:val="66"/>
        </w:rPr>
        <w:t>6.2 管理与培训要求</w:t>
      </w:r>
      <w:r>
        <w:tab/>
      </w:r>
      <w:r>
        <w:fldChar w:fldCharType="begin"/>
      </w:r>
      <w:r>
        <w:instrText xml:space="preserve"> PAGEREF _Toc53409605 \h </w:instrText>
      </w:r>
      <w:r>
        <w:fldChar w:fldCharType="separate"/>
      </w:r>
      <w:r>
        <w:t>6</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"_Toc53409606" </w:instrText>
      </w:r>
      <w:r>
        <w:fldChar w:fldCharType="separate"/>
      </w:r>
      <w:r>
        <w:rPr>
          <w:rStyle w:val="66"/>
        </w:rPr>
        <w:t>6.3 多方数据价值挖掘活动记录</w:t>
      </w:r>
      <w:r>
        <w:tab/>
      </w:r>
      <w:r>
        <w:fldChar w:fldCharType="begin"/>
      </w:r>
      <w:r>
        <w:instrText xml:space="preserve"> PAGEREF _Toc53409606 \h </w:instrText>
      </w:r>
      <w:r>
        <w:fldChar w:fldCharType="separate"/>
      </w:r>
      <w:r>
        <w:t>7</w:t>
      </w:r>
      <w:r>
        <w:fldChar w:fldCharType="end"/>
      </w:r>
      <w:r>
        <w:fldChar w:fldCharType="end"/>
      </w:r>
    </w:p>
    <w:p>
      <w:pPr>
        <w:pStyle w:val="28"/>
        <w:ind w:firstLine="210"/>
        <w:rPr>
          <w:rFonts w:asciiTheme="minorHAnsi" w:hAnsiTheme="minorHAnsi" w:eastAsiaTheme="minorEastAsia" w:cstheme="minorBidi"/>
          <w:szCs w:val="24"/>
        </w:rPr>
      </w:pPr>
      <w:r>
        <w:fldChar w:fldCharType="begin"/>
      </w:r>
      <w:r>
        <w:instrText xml:space="preserve"> HYPERLINK \l "_Toc53409607" </w:instrText>
      </w:r>
      <w:r>
        <w:fldChar w:fldCharType="separate"/>
      </w:r>
      <w:r>
        <w:rPr>
          <w:rStyle w:val="66"/>
        </w:rPr>
        <w:t>6.4 可信体系审计</w:t>
      </w:r>
      <w:r>
        <w:tab/>
      </w:r>
      <w:r>
        <w:fldChar w:fldCharType="begin"/>
      </w:r>
      <w:r>
        <w:instrText xml:space="preserve"> PAGEREF _Toc53409607 \h </w:instrText>
      </w:r>
      <w:r>
        <w:fldChar w:fldCharType="separate"/>
      </w:r>
      <w:r>
        <w:t>7</w:t>
      </w:r>
      <w:r>
        <w:fldChar w:fldCharType="end"/>
      </w:r>
      <w:r>
        <w:fldChar w:fldCharType="end"/>
      </w:r>
    </w:p>
    <w:p>
      <w:pPr>
        <w:pStyle w:val="42"/>
        <w:spacing w:line="300" w:lineRule="auto"/>
        <w:rPr>
          <w:kern w:val="2"/>
          <w:szCs w:val="21"/>
        </w:rPr>
      </w:pPr>
      <w:r>
        <w:rPr>
          <w:kern w:val="2"/>
          <w:szCs w:val="21"/>
        </w:rPr>
        <w:fldChar w:fldCharType="end"/>
      </w:r>
    </w:p>
    <w:p>
      <w:pPr>
        <w:pStyle w:val="141"/>
        <w:spacing w:line="300" w:lineRule="auto"/>
      </w:pPr>
      <w:bookmarkStart w:id="14" w:name="_Toc384035955"/>
      <w:bookmarkStart w:id="15" w:name="_Toc384037602"/>
      <w:bookmarkStart w:id="16" w:name="_Toc291502224"/>
      <w:bookmarkStart w:id="17" w:name="_Toc53409563"/>
      <w:r>
        <w:rPr>
          <w:rFonts w:hint="eastAsia"/>
        </w:rPr>
        <w:t>前</w:t>
      </w:r>
      <w:r>
        <w:t> </w:t>
      </w:r>
      <w:r>
        <w:rPr>
          <w:rFonts w:hint="eastAsia"/>
        </w:rPr>
        <w:t>　言</w:t>
      </w:r>
      <w:bookmarkEnd w:id="10"/>
      <w:bookmarkEnd w:id="11"/>
      <w:bookmarkEnd w:id="14"/>
      <w:bookmarkEnd w:id="15"/>
      <w:bookmarkEnd w:id="16"/>
      <w:bookmarkEnd w:id="17"/>
    </w:p>
    <w:p>
      <w:pPr>
        <w:pStyle w:val="42"/>
      </w:pPr>
      <w:r>
        <w:rPr>
          <w:rFonts w:hint="eastAsia"/>
        </w:rPr>
        <w:t>本文件按照GB/T 1.1-</w:t>
      </w:r>
      <w:r>
        <w:t>2020</w:t>
      </w:r>
      <w:r>
        <w:rPr>
          <w:rFonts w:hint="eastAsia"/>
        </w:rPr>
        <w:t>《标准化工作导则　第1部分：标准化文件的结构和起草规则》的</w:t>
      </w:r>
      <w:r>
        <w:t>规定</w:t>
      </w:r>
      <w:r>
        <w:rPr>
          <w:rFonts w:hint="eastAsia"/>
          <w:color w:val="000000"/>
        </w:rPr>
        <w:t>起草</w:t>
      </w:r>
      <w:r>
        <w:rPr>
          <w:rFonts w:hint="eastAsia"/>
        </w:rPr>
        <w:t>。</w:t>
      </w:r>
    </w:p>
    <w:p>
      <w:pPr>
        <w:ind w:firstLine="420"/>
      </w:pPr>
      <w:r>
        <w:rPr>
          <w:rFonts w:hAnsi="Times New Roman" w:cs="Times New Roman"/>
          <w:sz w:val="21"/>
          <w:szCs w:val="20"/>
        </w:rPr>
        <w:t>本</w:t>
      </w:r>
      <w:r>
        <w:rPr>
          <w:rFonts w:hint="eastAsia" w:hAnsi="Times New Roman" w:cs="Times New Roman"/>
          <w:sz w:val="21"/>
          <w:szCs w:val="20"/>
        </w:rPr>
        <w:t>文件</w:t>
      </w:r>
      <w:r>
        <w:rPr>
          <w:rFonts w:hAnsi="Times New Roman" w:cs="Times New Roman"/>
          <w:sz w:val="21"/>
          <w:szCs w:val="20"/>
        </w:rPr>
        <w:t>由</w:t>
      </w:r>
      <w:r>
        <w:rPr>
          <w:rFonts w:hint="eastAsia" w:hAnsi="Times New Roman" w:cs="Times New Roman"/>
          <w:sz w:val="21"/>
          <w:szCs w:val="20"/>
        </w:rPr>
        <w:t>中国互联网协会</w:t>
      </w:r>
      <w:r>
        <w:rPr>
          <w:rFonts w:hAnsi="Times New Roman" w:cs="Times New Roman"/>
          <w:sz w:val="21"/>
          <w:szCs w:val="20"/>
        </w:rPr>
        <w:t>归口</w:t>
      </w:r>
      <w:r>
        <w:t>。</w:t>
      </w:r>
    </w:p>
    <w:p>
      <w:pPr>
        <w:pStyle w:val="42"/>
      </w:pPr>
      <w:r>
        <w:rPr>
          <w:rFonts w:hint="eastAsia"/>
        </w:rPr>
        <w:t>本文件主要起草单位：中国信息通信研究院、蚂蚁科技集团股份有限公司、北京市竞天公诚律师事务所、京东云计算有限公司、中国联合网络通信有限公司、同盾科技有限公司、杭州数梦工场科技有限公司、北京三快在线科技有限公司、京东数字科技控股股份有限公司、咪咕文化科技有限公司等。</w:t>
      </w:r>
    </w:p>
    <w:p>
      <w:pPr>
        <w:pStyle w:val="42"/>
        <w:rPr>
          <w:rFonts w:ascii="黑体"/>
        </w:rPr>
      </w:pPr>
      <w:r>
        <w:rPr>
          <w:rFonts w:hint="eastAsia"/>
        </w:rPr>
        <w:t>本文件主要起草人：闫树、袁博、姜春宇、魏凯、吕艾临、李雪妮、冯坚坚、</w:t>
      </w:r>
      <w:r>
        <w:t>刘朋</w:t>
      </w:r>
      <w:r>
        <w:rPr>
          <w:rFonts w:hint="eastAsia"/>
        </w:rPr>
        <w:t>、</w:t>
      </w:r>
      <w:r>
        <w:t>周泉</w:t>
      </w:r>
      <w:r>
        <w:rPr>
          <w:rFonts w:hint="eastAsia"/>
        </w:rPr>
        <w:t>、袁立志、孙中伟、张新、黄一珉、</w:t>
      </w:r>
      <w:r>
        <w:rPr>
          <w:rFonts w:hint="eastAsia" w:ascii="黑体"/>
        </w:rPr>
        <w:t>刘洪波、贾晓菁、李金夏、</w:t>
      </w:r>
      <w:r>
        <w:rPr>
          <w:rFonts w:hint="eastAsia"/>
        </w:rPr>
        <w:t>陈涛、曲远汶、胡国华、李楷、李丹、刘笑岑、</w:t>
      </w:r>
      <w:r>
        <w:t>叶串</w:t>
      </w:r>
      <w:r>
        <w:rPr>
          <w:rFonts w:hint="eastAsia"/>
        </w:rPr>
        <w:t>、</w:t>
      </w:r>
      <w:r>
        <w:t>高雨冰</w:t>
      </w:r>
      <w:r>
        <w:rPr>
          <w:rFonts w:hint="eastAsia" w:ascii="黑体"/>
        </w:rPr>
        <w:t>、李然辉、</w:t>
      </w:r>
      <w:r>
        <w:rPr>
          <w:rFonts w:hint="eastAsia"/>
        </w:rPr>
        <w:t>黄琼峰、</w:t>
      </w:r>
      <w:r>
        <w:t>桂祖宏</w:t>
      </w:r>
      <w:r>
        <w:rPr>
          <w:rFonts w:hint="eastAsia"/>
        </w:rPr>
        <w:t>、</w:t>
      </w:r>
      <w:r>
        <w:t>于涛</w:t>
      </w:r>
      <w:r>
        <w:rPr>
          <w:rFonts w:hint="eastAsia"/>
        </w:rPr>
        <w:t>。</w:t>
      </w:r>
    </w:p>
    <w:p>
      <w:pPr>
        <w:pStyle w:val="42"/>
        <w:rPr>
          <w:rFonts w:ascii="黑体"/>
        </w:rPr>
      </w:pPr>
    </w:p>
    <w:p>
      <w:pPr>
        <w:pStyle w:val="42"/>
        <w:rPr>
          <w:rFonts w:ascii="黑体"/>
        </w:rPr>
        <w:sectPr>
          <w:headerReference r:id="rId7" w:type="default"/>
          <w:footerReference r:id="rId8" w:type="default"/>
          <w:footerReference r:id="rId9" w:type="even"/>
          <w:pgSz w:w="11906" w:h="16838"/>
          <w:pgMar w:top="567" w:right="1134" w:bottom="1134" w:left="1417" w:header="1418" w:footer="1134" w:gutter="0"/>
          <w:pgNumType w:fmt="upperRoman" w:start="1"/>
          <w:cols w:space="425" w:num="1"/>
          <w:formProt w:val="0"/>
          <w:docGrid w:type="lines" w:linePitch="312" w:charSpace="0"/>
        </w:sectPr>
      </w:pPr>
      <w:r>
        <w:rPr>
          <w:rFonts w:ascii="黑体"/>
        </w:rPr>
        <w:t xml:space="preserve">  </w:t>
      </w:r>
    </w:p>
    <w:p>
      <w:pPr>
        <w:pStyle w:val="141"/>
        <w:spacing w:line="300" w:lineRule="auto"/>
      </w:pPr>
      <w:bookmarkStart w:id="18" w:name="_Toc53409564"/>
      <w:r>
        <w:rPr>
          <w:rFonts w:hint="eastAsia"/>
        </w:rPr>
        <w:t>引　　言</w:t>
      </w:r>
      <w:bookmarkEnd w:id="18"/>
    </w:p>
    <w:p>
      <w:pPr>
        <w:pStyle w:val="42"/>
      </w:pPr>
      <w:r>
        <w:rPr>
          <w:rFonts w:hint="eastAsia"/>
        </w:rPr>
        <w:t>2020年4月，中共中央国务院发</w:t>
      </w:r>
      <w:r>
        <w:t>布</w:t>
      </w:r>
      <w:r>
        <w:rPr>
          <w:rFonts w:hint="eastAsia"/>
        </w:rPr>
        <w:t>《关于构建更加完善的要素市场化配置体制机制的意见》，要</w:t>
      </w:r>
      <w:r>
        <w:t>求加快培育数据要</w:t>
      </w:r>
      <w:r>
        <w:rPr>
          <w:rFonts w:hint="eastAsia"/>
        </w:rPr>
        <w:t>素</w:t>
      </w:r>
      <w:r>
        <w:t>市场，</w:t>
      </w:r>
      <w:r>
        <w:rPr>
          <w:rFonts w:hint="eastAsia"/>
        </w:rPr>
        <w:t>“加强数据资源整合和安全保护。探索建立统一规范的数据管理制度，提高数据质量和规范性，丰富数据产品。”作为丰富数据产品的必由之路，多方数据价值挖掘将有效促进数据作为生产要素的价值发挥。</w:t>
      </w:r>
    </w:p>
    <w:p>
      <w:pPr>
        <w:pStyle w:val="42"/>
      </w:pPr>
      <w:r>
        <w:rPr>
          <w:rFonts w:hint="eastAsia"/>
        </w:rPr>
        <w:t>目前，对</w:t>
      </w:r>
      <w:r>
        <w:t>于</w:t>
      </w:r>
      <w:r>
        <w:rPr>
          <w:rFonts w:hint="eastAsia"/>
        </w:rPr>
        <w:t>多</w:t>
      </w:r>
      <w:r>
        <w:t>方网络运营者的数据流通、共享</w:t>
      </w:r>
      <w:r>
        <w:rPr>
          <w:rFonts w:hint="eastAsia"/>
        </w:rPr>
        <w:t>及如何</w:t>
      </w:r>
      <w:r>
        <w:t>在</w:t>
      </w:r>
      <w:r>
        <w:rPr>
          <w:rFonts w:hint="eastAsia"/>
        </w:rPr>
        <w:t>保护</w:t>
      </w:r>
      <w:r>
        <w:t>个人信息的同时</w:t>
      </w:r>
      <w:r>
        <w:rPr>
          <w:rFonts w:hint="eastAsia"/>
        </w:rPr>
        <w:t>更</w:t>
      </w:r>
      <w:r>
        <w:t>好发挥数据价值</w:t>
      </w:r>
      <w:r>
        <w:rPr>
          <w:rFonts w:hint="eastAsia"/>
        </w:rPr>
        <w:t>、</w:t>
      </w:r>
      <w:r>
        <w:t>实现数据增值</w:t>
      </w:r>
      <w:r>
        <w:rPr>
          <w:rFonts w:hint="eastAsia"/>
        </w:rPr>
        <w:t>等方面还</w:t>
      </w:r>
      <w:r>
        <w:t>没有</w:t>
      </w:r>
      <w:r>
        <w:rPr>
          <w:rFonts w:hint="eastAsia"/>
        </w:rPr>
        <w:t>相关</w:t>
      </w:r>
      <w:r>
        <w:t>立法和国家标准</w:t>
      </w:r>
      <w:r>
        <w:rPr>
          <w:rFonts w:hint="eastAsia"/>
        </w:rPr>
        <w:t>，然而，</w:t>
      </w:r>
      <w:r>
        <w:t>产业</w:t>
      </w:r>
      <w:r>
        <w:rPr>
          <w:rFonts w:hint="eastAsia"/>
        </w:rPr>
        <w:t>发</w:t>
      </w:r>
      <w:r>
        <w:t>展</w:t>
      </w:r>
      <w:r>
        <w:rPr>
          <w:rFonts w:hint="eastAsia"/>
        </w:rPr>
        <w:t>却</w:t>
      </w:r>
      <w:r>
        <w:t>存在</w:t>
      </w:r>
      <w:r>
        <w:rPr>
          <w:rFonts w:hint="eastAsia"/>
        </w:rPr>
        <w:t>着迫切</w:t>
      </w:r>
      <w:r>
        <w:t>的数据</w:t>
      </w:r>
      <w:r>
        <w:rPr>
          <w:rFonts w:hint="eastAsia"/>
        </w:rPr>
        <w:t>利用、共享的</w:t>
      </w:r>
      <w:r>
        <w:t>需求。</w:t>
      </w:r>
      <w:r>
        <w:rPr>
          <w:rFonts w:hint="eastAsia"/>
        </w:rPr>
        <w:t>以</w:t>
      </w:r>
      <w:r>
        <w:t>数据为纽带的产学研融合，</w:t>
      </w:r>
      <w:r>
        <w:rPr>
          <w:rFonts w:hint="eastAsia"/>
        </w:rPr>
        <w:t>数据</w:t>
      </w:r>
      <w:r>
        <w:t>驱动型创新体系的发展都离不开</w:t>
      </w:r>
      <w:r>
        <w:rPr>
          <w:rFonts w:hint="eastAsia"/>
        </w:rPr>
        <w:t>不</w:t>
      </w:r>
      <w:r>
        <w:t>同网络运营者在</w:t>
      </w:r>
      <w:r>
        <w:rPr>
          <w:rFonts w:hint="eastAsia"/>
        </w:rPr>
        <w:t>保护</w:t>
      </w:r>
      <w:r>
        <w:t>个人信息的前提下</w:t>
      </w:r>
      <w:r>
        <w:rPr>
          <w:rFonts w:hint="eastAsia"/>
        </w:rPr>
        <w:t>进行数据</w:t>
      </w:r>
      <w:r>
        <w:t>融合、分析</w:t>
      </w:r>
      <w:r>
        <w:rPr>
          <w:rFonts w:hint="eastAsia"/>
        </w:rPr>
        <w:t>，</w:t>
      </w:r>
      <w:r>
        <w:t>发挥数据价值</w:t>
      </w:r>
      <w:r>
        <w:rPr>
          <w:rFonts w:hint="eastAsia"/>
        </w:rPr>
        <w:t>，</w:t>
      </w:r>
      <w:r>
        <w:t>从而促进产业</w:t>
      </w:r>
      <w:r>
        <w:rPr>
          <w:rFonts w:hint="eastAsia"/>
        </w:rPr>
        <w:t>创新</w:t>
      </w:r>
      <w:r>
        <w:t>和经济发展</w:t>
      </w:r>
      <w:r>
        <w:rPr>
          <w:rFonts w:hint="eastAsia"/>
        </w:rPr>
        <w:t>。因此，</w:t>
      </w:r>
      <w:r>
        <w:t>制定网络运营</w:t>
      </w:r>
      <w:r>
        <w:rPr>
          <w:rFonts w:hint="eastAsia"/>
        </w:rPr>
        <w:t>者</w:t>
      </w:r>
      <w:r>
        <w:t>多方数据</w:t>
      </w:r>
      <w:r>
        <w:rPr>
          <w:rFonts w:hint="eastAsia"/>
        </w:rPr>
        <w:t>价值</w:t>
      </w:r>
      <w:r>
        <w:t>挖掘的</w:t>
      </w:r>
      <w:r>
        <w:rPr>
          <w:rFonts w:hint="eastAsia"/>
        </w:rPr>
        <w:t>可</w:t>
      </w:r>
      <w:r>
        <w:t>信体系标准，</w:t>
      </w:r>
      <w:r>
        <w:rPr>
          <w:rFonts w:hint="eastAsia"/>
        </w:rPr>
        <w:t>为</w:t>
      </w:r>
      <w:r>
        <w:t>不同网络运营</w:t>
      </w:r>
      <w:r>
        <w:rPr>
          <w:rFonts w:hint="eastAsia"/>
        </w:rPr>
        <w:t>者的</w:t>
      </w:r>
      <w:r>
        <w:t>数据流通、数据价值挖掘提供解决方案</w:t>
      </w:r>
      <w:r>
        <w:rPr>
          <w:rFonts w:hint="eastAsia"/>
        </w:rPr>
        <w:t>，</w:t>
      </w:r>
      <w:r>
        <w:t>形成一定的行业共识</w:t>
      </w:r>
      <w:r>
        <w:rPr>
          <w:rFonts w:hint="eastAsia"/>
        </w:rPr>
        <w:t>，是对中</w:t>
      </w:r>
      <w:r>
        <w:t>央</w:t>
      </w:r>
      <w:r>
        <w:rPr>
          <w:rFonts w:hint="eastAsia"/>
        </w:rPr>
        <w:t>政策在</w:t>
      </w:r>
      <w:r>
        <w:t>行业的具体落实，</w:t>
      </w:r>
      <w:r>
        <w:rPr>
          <w:rFonts w:hint="eastAsia"/>
        </w:rPr>
        <w:t>是</w:t>
      </w:r>
      <w:r>
        <w:t>对</w:t>
      </w:r>
      <w:r>
        <w:rPr>
          <w:rFonts w:hint="eastAsia"/>
        </w:rPr>
        <w:t>创造</w:t>
      </w:r>
      <w:r>
        <w:t>数据</w:t>
      </w:r>
      <w:r>
        <w:rPr>
          <w:rFonts w:hint="eastAsia"/>
        </w:rPr>
        <w:t>价值的</w:t>
      </w:r>
      <w:r>
        <w:t>有益探索</w:t>
      </w:r>
      <w:r>
        <w:rPr>
          <w:rFonts w:hint="eastAsia"/>
        </w:rPr>
        <w:t>，</w:t>
      </w:r>
      <w:r>
        <w:t>对</w:t>
      </w:r>
      <w:r>
        <w:rPr>
          <w:rFonts w:hint="eastAsia"/>
        </w:rPr>
        <w:t>于</w:t>
      </w:r>
      <w:r>
        <w:t>未来相关立法和</w:t>
      </w:r>
      <w:r>
        <w:rPr>
          <w:rFonts w:hint="eastAsia"/>
        </w:rPr>
        <w:t>政策</w:t>
      </w:r>
      <w:r>
        <w:t>制定</w:t>
      </w:r>
      <w:r>
        <w:rPr>
          <w:rFonts w:hint="eastAsia"/>
        </w:rPr>
        <w:t>也</w:t>
      </w:r>
      <w:r>
        <w:t>有重</w:t>
      </w:r>
      <w:r>
        <w:rPr>
          <w:rFonts w:hint="eastAsia"/>
        </w:rPr>
        <w:t>要</w:t>
      </w:r>
      <w:r>
        <w:t>的参考意义。</w:t>
      </w:r>
    </w:p>
    <w:p>
      <w:pPr>
        <w:ind w:firstLine="480" w:firstLineChars="200"/>
        <w:rPr>
          <w:color w:val="000000"/>
          <w:szCs w:val="21"/>
        </w:rPr>
        <w:sectPr>
          <w:pgSz w:w="11906" w:h="16838"/>
          <w:pgMar w:top="567" w:right="1134" w:bottom="1134" w:left="1418" w:header="1418" w:footer="1134" w:gutter="0"/>
          <w:pgNumType w:fmt="upperRoman"/>
          <w:cols w:space="425" w:num="1"/>
          <w:formProt w:val="0"/>
          <w:docGrid w:type="lines" w:linePitch="312" w:charSpace="0"/>
        </w:sectPr>
      </w:pPr>
    </w:p>
    <w:p>
      <w:pPr>
        <w:pStyle w:val="75"/>
        <w:ind w:right="420"/>
        <w:jc w:val="center"/>
        <w:rPr>
          <w:sz w:val="32"/>
          <w:szCs w:val="32"/>
        </w:rPr>
      </w:pPr>
      <w:r>
        <w:rPr>
          <w:rFonts w:hint="eastAsia"/>
          <w:sz w:val="32"/>
          <w:szCs w:val="32"/>
        </w:rPr>
        <w:t>可信数据服务 多方数据价值挖掘体系框架</w:t>
      </w:r>
    </w:p>
    <w:p>
      <w:pPr>
        <w:pStyle w:val="76"/>
        <w:spacing w:before="312" w:after="312"/>
      </w:pPr>
      <w:bookmarkStart w:id="19" w:name="_Toc335747814"/>
      <w:bookmarkStart w:id="20" w:name="_Toc329076271"/>
      <w:bookmarkStart w:id="21" w:name="_Toc328406070"/>
      <w:bookmarkStart w:id="22" w:name="_Toc335309677"/>
      <w:bookmarkStart w:id="23" w:name="_Toc328408845"/>
      <w:bookmarkStart w:id="24" w:name="_Toc329077959"/>
      <w:bookmarkStart w:id="25" w:name="_Toc329093548"/>
      <w:bookmarkStart w:id="26" w:name="_Toc53409565"/>
      <w:bookmarkStart w:id="27" w:name="_Toc329786028"/>
      <w:r>
        <w:rPr>
          <w:rFonts w:hint="eastAsia"/>
        </w:rPr>
        <w:t>范围</w:t>
      </w:r>
      <w:bookmarkEnd w:id="19"/>
      <w:bookmarkEnd w:id="20"/>
      <w:bookmarkEnd w:id="21"/>
      <w:bookmarkEnd w:id="22"/>
      <w:bookmarkEnd w:id="23"/>
      <w:bookmarkEnd w:id="24"/>
      <w:bookmarkEnd w:id="25"/>
      <w:bookmarkEnd w:id="26"/>
      <w:bookmarkEnd w:id="27"/>
    </w:p>
    <w:p>
      <w:pPr>
        <w:pStyle w:val="42"/>
      </w:pPr>
      <w:r>
        <w:rPr>
          <w:rFonts w:hint="eastAsia"/>
        </w:rPr>
        <w:t>本标准确立了网络运营者针对多方数据价值挖掘的可信体系建设框架，给出了让多方数据价值挖掘达到可信程度的基本要求。</w:t>
      </w:r>
    </w:p>
    <w:p>
      <w:pPr>
        <w:pStyle w:val="42"/>
      </w:pPr>
      <w:r>
        <w:rPr>
          <w:rFonts w:hint="eastAsia"/>
        </w:rPr>
        <w:t>本标准适用于网络运营者，为其开展多方数据价值挖掘工作提供参考和指引。</w:t>
      </w:r>
    </w:p>
    <w:p>
      <w:pPr>
        <w:pStyle w:val="76"/>
        <w:spacing w:before="312" w:after="312"/>
      </w:pPr>
      <w:bookmarkStart w:id="28" w:name="_Toc329077960"/>
      <w:bookmarkStart w:id="29" w:name="_Toc329093549"/>
      <w:bookmarkStart w:id="30" w:name="_Toc335747815"/>
      <w:bookmarkStart w:id="31" w:name="_Toc53409566"/>
      <w:bookmarkStart w:id="32" w:name="_Toc328408846"/>
      <w:bookmarkStart w:id="33" w:name="_Toc328406071"/>
      <w:bookmarkStart w:id="34" w:name="_Toc329076272"/>
      <w:bookmarkStart w:id="35" w:name="_Toc329786029"/>
      <w:bookmarkStart w:id="36" w:name="_Toc335309678"/>
      <w:r>
        <w:rPr>
          <w:rFonts w:hint="eastAsia"/>
        </w:rPr>
        <w:t>规范性引用文件</w:t>
      </w:r>
      <w:bookmarkEnd w:id="28"/>
      <w:bookmarkEnd w:id="29"/>
      <w:bookmarkEnd w:id="30"/>
      <w:bookmarkEnd w:id="31"/>
      <w:bookmarkEnd w:id="32"/>
      <w:bookmarkEnd w:id="33"/>
      <w:bookmarkEnd w:id="34"/>
      <w:bookmarkEnd w:id="35"/>
      <w:bookmarkEnd w:id="36"/>
    </w:p>
    <w:p>
      <w:pPr>
        <w:pStyle w:val="42"/>
      </w:pPr>
      <w:r>
        <w:rPr>
          <w:rFonts w:hint="eastAsia" w:ascii="Times New Roman" w:hAnsi="宋体"/>
          <w:szCs w:val="21"/>
        </w:rPr>
        <w:t>下列文件中的内容通过文中的规范性引用而构成本标准必不可少的条款。其中，注日期的引用文件，仅该日期对应的版本适用于本标准；不注日期的引用文件，其最新版本（包括所有的修改单）适用于本标准。</w:t>
      </w:r>
    </w:p>
    <w:p>
      <w:pPr>
        <w:pStyle w:val="42"/>
      </w:pPr>
      <w:r>
        <w:rPr>
          <w:rFonts w:hint="eastAsia"/>
        </w:rPr>
        <w:t>GB/T 29828-2013　《信息安全技术 可信计算规范 可信连接架构》</w:t>
      </w:r>
    </w:p>
    <w:p>
      <w:pPr>
        <w:pStyle w:val="42"/>
      </w:pPr>
      <w:r>
        <w:rPr>
          <w:rFonts w:hint="eastAsia"/>
        </w:rPr>
        <w:t>GB/T 30847.1-2014　《系统与软件工程 可信计算平台可信性度量 第1部分概述与词汇》</w:t>
      </w:r>
    </w:p>
    <w:p>
      <w:pPr>
        <w:pStyle w:val="42"/>
      </w:pPr>
      <w:r>
        <w:rPr>
          <w:rFonts w:hint="eastAsia"/>
        </w:rPr>
        <w:t>GB/T 35273　《信息安全技术 个人信息安全规范》</w:t>
      </w:r>
    </w:p>
    <w:p>
      <w:pPr>
        <w:pStyle w:val="42"/>
      </w:pPr>
      <w:r>
        <w:rPr>
          <w:rFonts w:hint="eastAsia"/>
        </w:rPr>
        <w:t>GB/T 37964-2019  《信息安全技术 个人信息去标识化指南》</w:t>
      </w:r>
    </w:p>
    <w:p>
      <w:pPr>
        <w:pStyle w:val="76"/>
        <w:spacing w:before="312" w:after="312"/>
      </w:pPr>
      <w:bookmarkStart w:id="37" w:name="_Toc328406072"/>
      <w:bookmarkEnd w:id="37"/>
      <w:bookmarkStart w:id="38" w:name="_Toc293414353"/>
      <w:bookmarkStart w:id="39" w:name="_Toc300386318"/>
      <w:bookmarkStart w:id="40" w:name="_Toc279654479"/>
      <w:bookmarkStart w:id="41" w:name="_Toc318901732"/>
      <w:bookmarkStart w:id="42" w:name="_Toc321667586"/>
      <w:bookmarkStart w:id="43" w:name="_Toc329076273"/>
      <w:bookmarkStart w:id="44" w:name="_Toc335309679"/>
      <w:bookmarkStart w:id="45" w:name="_Toc279480735"/>
      <w:bookmarkStart w:id="46" w:name="_Toc279655211"/>
      <w:bookmarkStart w:id="47" w:name="_Toc279655370"/>
      <w:bookmarkStart w:id="48" w:name="_Toc279990359"/>
      <w:bookmarkStart w:id="49" w:name="_Toc293413956"/>
      <w:bookmarkStart w:id="50" w:name="_Toc318901465"/>
      <w:bookmarkStart w:id="51" w:name="_Toc329093550"/>
      <w:bookmarkStart w:id="52" w:name="_Toc328408847"/>
      <w:bookmarkStart w:id="53" w:name="_Toc329786030"/>
      <w:bookmarkStart w:id="54" w:name="_Toc300384325"/>
      <w:bookmarkStart w:id="55" w:name="_Toc329077961"/>
      <w:bookmarkStart w:id="56" w:name="_Toc335747816"/>
      <w:bookmarkStart w:id="57" w:name="_Toc53409567"/>
      <w:r>
        <w:rPr>
          <w:rFonts w:hint="eastAsia"/>
        </w:rPr>
        <w:t>术语和定义</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bookmarkEnd w:id="12"/>
    <w:p>
      <w:pPr>
        <w:pStyle w:val="42"/>
        <w:rPr>
          <w:rFonts w:ascii="Times New Roman"/>
        </w:rPr>
      </w:pPr>
      <w:bookmarkStart w:id="58" w:name="_Toc510550205"/>
      <w:bookmarkStart w:id="59" w:name="_Toc26320"/>
      <w:r>
        <w:rPr>
          <w:rFonts w:ascii="Times New Roman"/>
        </w:rPr>
        <w:t>下列术语和定义适用于本</w:t>
      </w:r>
      <w:r>
        <w:rPr>
          <w:rFonts w:hint="eastAsia" w:ascii="Times New Roman"/>
        </w:rPr>
        <w:t>标准</w:t>
      </w:r>
      <w:r>
        <w:rPr>
          <w:rFonts w:ascii="Times New Roman"/>
        </w:rPr>
        <w:t>。</w:t>
      </w:r>
      <w:bookmarkEnd w:id="58"/>
      <w:bookmarkEnd w:id="59"/>
    </w:p>
    <w:p>
      <w:pPr>
        <w:pStyle w:val="73"/>
        <w:spacing w:before="156" w:after="156"/>
        <w:rPr>
          <w:rFonts w:ascii="Times New Roman"/>
        </w:rPr>
      </w:pPr>
      <w:bookmarkStart w:id="60" w:name="_Toc7952756"/>
      <w:bookmarkEnd w:id="60"/>
      <w:bookmarkStart w:id="61" w:name="_Toc523299409"/>
      <w:bookmarkEnd w:id="61"/>
      <w:bookmarkStart w:id="62" w:name="_Toc23428677"/>
      <w:bookmarkEnd w:id="62"/>
      <w:bookmarkStart w:id="63" w:name="_Toc39667130"/>
      <w:bookmarkEnd w:id="63"/>
      <w:bookmarkStart w:id="64" w:name="_Toc39670216"/>
      <w:bookmarkEnd w:id="64"/>
      <w:bookmarkStart w:id="65" w:name="_Toc520302762"/>
      <w:bookmarkEnd w:id="65"/>
      <w:bookmarkStart w:id="66" w:name="_Toc46899358"/>
      <w:bookmarkEnd w:id="66"/>
      <w:bookmarkStart w:id="67" w:name="_Toc522227353"/>
      <w:bookmarkEnd w:id="67"/>
      <w:bookmarkStart w:id="68" w:name="_Toc531093946"/>
      <w:bookmarkEnd w:id="68"/>
      <w:bookmarkStart w:id="69" w:name="_Toc25604364"/>
      <w:bookmarkEnd w:id="69"/>
      <w:bookmarkStart w:id="70" w:name="_Toc39667089"/>
      <w:bookmarkEnd w:id="70"/>
      <w:bookmarkStart w:id="71" w:name="_Toc46899568"/>
      <w:bookmarkEnd w:id="71"/>
      <w:bookmarkStart w:id="72" w:name="_Toc47990658"/>
      <w:bookmarkEnd w:id="72"/>
      <w:bookmarkStart w:id="73" w:name="_Toc53409568"/>
      <w:bookmarkEnd w:id="73"/>
      <w:bookmarkStart w:id="74" w:name="_Toc48050892"/>
      <w:bookmarkEnd w:id="74"/>
    </w:p>
    <w:p>
      <w:pPr>
        <w:pStyle w:val="42"/>
        <w:rPr>
          <w:rFonts w:ascii="黑体" w:eastAsia="黑体"/>
          <w:szCs w:val="21"/>
        </w:rPr>
      </w:pPr>
      <w:bookmarkStart w:id="75" w:name="_Toc521338750"/>
      <w:bookmarkStart w:id="76" w:name="_Toc521340704"/>
      <w:bookmarkStart w:id="77" w:name="_Toc25604365"/>
      <w:bookmarkStart w:id="78" w:name="_Toc531093947"/>
      <w:bookmarkStart w:id="79" w:name="_Toc7952757"/>
      <w:bookmarkStart w:id="80" w:name="_Toc23428678"/>
      <w:bookmarkStart w:id="81" w:name="_Toc522227354"/>
      <w:bookmarkStart w:id="82" w:name="_Toc523299410"/>
      <w:bookmarkStart w:id="83" w:name="_Toc39667090"/>
      <w:r>
        <w:rPr>
          <w:rFonts w:hint="eastAsia" w:ascii="黑体" w:eastAsia="黑体"/>
          <w:szCs w:val="21"/>
        </w:rPr>
        <w:t>网络运营者　</w:t>
      </w:r>
      <w:bookmarkEnd w:id="75"/>
      <w:bookmarkEnd w:id="76"/>
      <w:bookmarkEnd w:id="77"/>
      <w:bookmarkEnd w:id="78"/>
      <w:bookmarkEnd w:id="79"/>
      <w:bookmarkEnd w:id="80"/>
      <w:bookmarkEnd w:id="81"/>
      <w:bookmarkEnd w:id="82"/>
      <w:r>
        <w:rPr>
          <w:rFonts w:hint="eastAsia" w:ascii="黑体" w:eastAsia="黑体"/>
          <w:szCs w:val="21"/>
        </w:rPr>
        <w:t>net</w:t>
      </w:r>
      <w:r>
        <w:rPr>
          <w:rFonts w:ascii="黑体" w:eastAsia="黑体"/>
          <w:szCs w:val="21"/>
        </w:rPr>
        <w:t xml:space="preserve">work </w:t>
      </w:r>
      <w:r>
        <w:rPr>
          <w:rFonts w:hint="eastAsia" w:ascii="黑体" w:eastAsia="黑体"/>
          <w:szCs w:val="21"/>
        </w:rPr>
        <w:t>operator</w:t>
      </w:r>
      <w:r>
        <w:rPr>
          <w:rFonts w:ascii="黑体" w:eastAsia="黑体"/>
          <w:szCs w:val="21"/>
        </w:rPr>
        <w:t>s</w:t>
      </w:r>
      <w:bookmarkEnd w:id="83"/>
    </w:p>
    <w:p>
      <w:pPr>
        <w:pStyle w:val="42"/>
      </w:pPr>
      <w:r>
        <w:rPr>
          <w:rFonts w:hint="eastAsia"/>
        </w:rPr>
        <w:t>网络的所有者、管理者和网络服务提供者。</w:t>
      </w:r>
    </w:p>
    <w:p>
      <w:pPr>
        <w:pStyle w:val="73"/>
        <w:spacing w:before="156" w:after="156"/>
        <w:rPr>
          <w:rFonts w:hAnsi="黑体"/>
          <w:shd w:val="clear" w:color="auto" w:fill="FFFFFF"/>
        </w:rPr>
      </w:pPr>
      <w:bookmarkStart w:id="84" w:name="_Toc46899569"/>
      <w:bookmarkEnd w:id="84"/>
      <w:bookmarkStart w:id="85" w:name="_Toc47990659"/>
      <w:bookmarkEnd w:id="85"/>
      <w:bookmarkStart w:id="86" w:name="_Toc46899359"/>
      <w:bookmarkEnd w:id="86"/>
      <w:bookmarkStart w:id="87" w:name="_Toc48050893"/>
      <w:bookmarkEnd w:id="87"/>
      <w:bookmarkStart w:id="88" w:name="_Toc53409569"/>
      <w:bookmarkEnd w:id="88"/>
    </w:p>
    <w:p>
      <w:pPr>
        <w:pStyle w:val="42"/>
        <w:rPr>
          <w:rFonts w:ascii="黑体" w:eastAsia="黑体"/>
          <w:szCs w:val="21"/>
        </w:rPr>
      </w:pPr>
      <w:r>
        <w:rPr>
          <w:rFonts w:hint="eastAsia" w:ascii="黑体" w:eastAsia="黑体"/>
          <w:szCs w:val="21"/>
        </w:rPr>
        <w:t>可信　trust</w:t>
      </w:r>
    </w:p>
    <w:p>
      <w:pPr>
        <w:pStyle w:val="42"/>
      </w:pPr>
      <w:r>
        <w:rPr>
          <w:rFonts w:hint="eastAsia"/>
        </w:rPr>
        <w:t>信任者对于被信任者关于能否在没有直接管控的情况下履行承诺的一种认知。</w:t>
      </w:r>
    </w:p>
    <w:p>
      <w:pPr>
        <w:pStyle w:val="73"/>
        <w:spacing w:before="156" w:after="156"/>
        <w:rPr>
          <w:rFonts w:hAnsi="黑体"/>
          <w:shd w:val="clear" w:color="auto" w:fill="FFFFFF"/>
        </w:rPr>
      </w:pPr>
      <w:bookmarkStart w:id="89" w:name="_Toc47990660"/>
      <w:bookmarkEnd w:id="89"/>
      <w:bookmarkStart w:id="90" w:name="_Toc48050894"/>
      <w:bookmarkEnd w:id="90"/>
      <w:bookmarkStart w:id="91" w:name="_Toc53409570"/>
      <w:bookmarkEnd w:id="91"/>
      <w:bookmarkStart w:id="92" w:name="_Toc46899360"/>
      <w:bookmarkEnd w:id="92"/>
      <w:bookmarkStart w:id="93" w:name="_Toc46899570"/>
      <w:bookmarkEnd w:id="93"/>
    </w:p>
    <w:p>
      <w:pPr>
        <w:pStyle w:val="42"/>
        <w:rPr>
          <w:rFonts w:ascii="黑体" w:eastAsia="黑体"/>
          <w:szCs w:val="21"/>
        </w:rPr>
      </w:pPr>
      <w:r>
        <w:rPr>
          <w:rFonts w:hint="eastAsia" w:ascii="黑体" w:eastAsia="黑体"/>
          <w:szCs w:val="21"/>
        </w:rPr>
        <w:t>可信性　trustworthiness</w:t>
      </w:r>
    </w:p>
    <w:p>
      <w:pPr>
        <w:pStyle w:val="42"/>
      </w:pPr>
      <w:r>
        <w:rPr>
          <w:rFonts w:hint="eastAsia"/>
        </w:rPr>
        <w:t>被信任者的一种内在的、动态的属性，由被信任者所展示的履行承诺的能力和基于监督证据持续改进的能力所反映。</w:t>
      </w:r>
    </w:p>
    <w:p>
      <w:pPr>
        <w:pStyle w:val="73"/>
        <w:spacing w:before="156" w:after="156"/>
        <w:rPr>
          <w:rFonts w:hAnsi="黑体"/>
          <w:shd w:val="clear" w:color="auto" w:fill="FFFFFF"/>
        </w:rPr>
      </w:pPr>
      <w:bookmarkStart w:id="94" w:name="_Toc53409571"/>
      <w:bookmarkEnd w:id="94"/>
      <w:bookmarkStart w:id="95" w:name="_Toc48050895"/>
      <w:bookmarkEnd w:id="95"/>
      <w:bookmarkStart w:id="96" w:name="_Toc46899361"/>
      <w:bookmarkEnd w:id="96"/>
      <w:bookmarkStart w:id="97" w:name="_Toc46899571"/>
      <w:bookmarkEnd w:id="97"/>
      <w:bookmarkStart w:id="98" w:name="_Toc47990661"/>
      <w:bookmarkEnd w:id="98"/>
    </w:p>
    <w:p>
      <w:pPr>
        <w:pStyle w:val="42"/>
        <w:rPr>
          <w:rFonts w:ascii="黑体" w:eastAsia="黑体"/>
          <w:szCs w:val="21"/>
        </w:rPr>
      </w:pPr>
      <w:r>
        <w:rPr>
          <w:rFonts w:hint="eastAsia" w:ascii="黑体" w:eastAsia="黑体"/>
          <w:szCs w:val="21"/>
        </w:rPr>
        <w:t>可信计算平台　trust</w:t>
      </w:r>
      <w:r>
        <w:rPr>
          <w:rFonts w:ascii="黑体" w:eastAsia="黑体"/>
          <w:szCs w:val="21"/>
        </w:rPr>
        <w:t xml:space="preserve"> </w:t>
      </w:r>
      <w:r>
        <w:rPr>
          <w:rFonts w:hint="eastAsia" w:ascii="黑体" w:eastAsia="黑体"/>
          <w:szCs w:val="21"/>
        </w:rPr>
        <w:t>computing</w:t>
      </w:r>
      <w:r>
        <w:rPr>
          <w:rFonts w:ascii="黑体" w:eastAsia="黑体"/>
          <w:szCs w:val="21"/>
        </w:rPr>
        <w:t xml:space="preserve"> </w:t>
      </w:r>
      <w:r>
        <w:rPr>
          <w:rFonts w:hint="eastAsia" w:ascii="黑体" w:eastAsia="黑体"/>
          <w:szCs w:val="21"/>
        </w:rPr>
        <w:t>platform</w:t>
      </w:r>
    </w:p>
    <w:p>
      <w:pPr>
        <w:pStyle w:val="42"/>
      </w:pPr>
      <w:r>
        <w:rPr>
          <w:rFonts w:hint="eastAsia"/>
        </w:rPr>
        <w:t>具有可信保证机制的计算平台。</w:t>
      </w:r>
    </w:p>
    <w:p>
      <w:pPr>
        <w:pStyle w:val="73"/>
        <w:spacing w:before="156" w:after="156"/>
        <w:rPr>
          <w:rFonts w:hAnsi="黑体"/>
          <w:shd w:val="clear" w:color="auto" w:fill="FFFFFF"/>
        </w:rPr>
      </w:pPr>
      <w:bookmarkStart w:id="99" w:name="_Toc46899572"/>
      <w:bookmarkEnd w:id="99"/>
      <w:bookmarkStart w:id="100" w:name="_Toc53409572"/>
      <w:bookmarkEnd w:id="100"/>
      <w:bookmarkStart w:id="101" w:name="_Toc46899362"/>
      <w:bookmarkEnd w:id="101"/>
      <w:bookmarkStart w:id="102" w:name="_Toc48050896"/>
      <w:bookmarkEnd w:id="102"/>
      <w:bookmarkStart w:id="103" w:name="_Toc47990662"/>
      <w:bookmarkEnd w:id="103"/>
    </w:p>
    <w:p>
      <w:pPr>
        <w:pStyle w:val="42"/>
        <w:rPr>
          <w:rFonts w:ascii="黑体" w:eastAsia="黑体"/>
          <w:szCs w:val="21"/>
        </w:rPr>
      </w:pPr>
      <w:r>
        <w:rPr>
          <w:rFonts w:hint="eastAsia" w:ascii="黑体" w:eastAsia="黑体"/>
          <w:szCs w:val="21"/>
        </w:rPr>
        <w:t>可信第三方　trusted</w:t>
      </w:r>
      <w:r>
        <w:rPr>
          <w:rFonts w:ascii="黑体" w:eastAsia="黑体"/>
          <w:szCs w:val="21"/>
        </w:rPr>
        <w:t xml:space="preserve"> </w:t>
      </w:r>
      <w:r>
        <w:rPr>
          <w:rFonts w:hint="eastAsia" w:ascii="黑体" w:eastAsia="黑体"/>
          <w:szCs w:val="21"/>
        </w:rPr>
        <w:t>third</w:t>
      </w:r>
      <w:r>
        <w:rPr>
          <w:rFonts w:ascii="黑体" w:eastAsia="黑体"/>
          <w:szCs w:val="21"/>
        </w:rPr>
        <w:t xml:space="preserve"> </w:t>
      </w:r>
      <w:r>
        <w:rPr>
          <w:rFonts w:hint="eastAsia" w:ascii="黑体" w:eastAsia="黑体"/>
          <w:szCs w:val="21"/>
        </w:rPr>
        <w:t>party</w:t>
      </w:r>
    </w:p>
    <w:p>
      <w:pPr>
        <w:pStyle w:val="42"/>
      </w:pPr>
      <w:r>
        <w:rPr>
          <w:rFonts w:hint="eastAsia"/>
        </w:rPr>
        <w:t>一个安全的权威方，它为其他安全相关实体所信任。</w:t>
      </w:r>
    </w:p>
    <w:p>
      <w:pPr>
        <w:ind w:firstLine="357"/>
        <w:rPr>
          <w:sz w:val="18"/>
          <w:szCs w:val="18"/>
        </w:rPr>
      </w:pPr>
      <w:r>
        <w:rPr>
          <w:rFonts w:hint="eastAsia" w:ascii="黑体" w:hAnsi="黑体" w:eastAsia="黑体"/>
          <w:sz w:val="18"/>
          <w:szCs w:val="18"/>
        </w:rPr>
        <w:t>注:</w:t>
      </w:r>
      <w:r>
        <w:rPr>
          <w:rFonts w:hint="eastAsia"/>
          <w:sz w:val="18"/>
          <w:szCs w:val="18"/>
        </w:rPr>
        <w:t xml:space="preserve">本标准中的可信第三方是指多方数据价值挖掘区域的运营者，不能由为多方数据价值挖掘提供数据的网络运营者担任，不能为本标准以外的目的使用挖掘区域中的数据和数据价值。 </w:t>
      </w:r>
    </w:p>
    <w:p>
      <w:pPr>
        <w:pStyle w:val="42"/>
      </w:pPr>
    </w:p>
    <w:p>
      <w:pPr>
        <w:pStyle w:val="73"/>
        <w:spacing w:before="156" w:after="156"/>
      </w:pPr>
      <w:bookmarkStart w:id="104" w:name="_Toc39667131"/>
      <w:bookmarkEnd w:id="104"/>
      <w:bookmarkStart w:id="105" w:name="_Toc39670217"/>
      <w:bookmarkEnd w:id="105"/>
      <w:bookmarkStart w:id="106" w:name="_Toc25604366"/>
      <w:bookmarkEnd w:id="106"/>
      <w:bookmarkStart w:id="107" w:name="_Toc39667091"/>
      <w:bookmarkEnd w:id="107"/>
      <w:bookmarkStart w:id="108" w:name="_Toc46899574"/>
      <w:bookmarkEnd w:id="108"/>
      <w:bookmarkStart w:id="109" w:name="_Toc46899575"/>
      <w:bookmarkEnd w:id="109"/>
      <w:bookmarkStart w:id="110" w:name="_Toc39667092"/>
      <w:bookmarkEnd w:id="110"/>
      <w:bookmarkStart w:id="111" w:name="_Toc46899365"/>
      <w:bookmarkEnd w:id="111"/>
      <w:bookmarkStart w:id="112" w:name="_Toc39667132"/>
      <w:bookmarkEnd w:id="112"/>
      <w:bookmarkStart w:id="113" w:name="_Toc39670218"/>
      <w:bookmarkEnd w:id="113"/>
      <w:bookmarkStart w:id="114" w:name="_Toc46899366"/>
      <w:bookmarkEnd w:id="114"/>
      <w:bookmarkStart w:id="115" w:name="_Toc46899364"/>
      <w:bookmarkEnd w:id="115"/>
      <w:bookmarkStart w:id="116" w:name="_Toc46899576"/>
      <w:bookmarkEnd w:id="116"/>
      <w:bookmarkStart w:id="117" w:name="_Toc47990663"/>
      <w:bookmarkEnd w:id="117"/>
      <w:bookmarkStart w:id="118" w:name="_Toc46899363"/>
      <w:bookmarkEnd w:id="118"/>
      <w:bookmarkStart w:id="119" w:name="_Toc46899573"/>
      <w:bookmarkEnd w:id="119"/>
      <w:bookmarkStart w:id="120" w:name="_Toc23428679"/>
      <w:bookmarkEnd w:id="120"/>
      <w:bookmarkStart w:id="121" w:name="_Toc48050897"/>
      <w:bookmarkEnd w:id="121"/>
      <w:bookmarkStart w:id="122" w:name="_Toc53409573"/>
      <w:bookmarkEnd w:id="122"/>
    </w:p>
    <w:p>
      <w:pPr>
        <w:pStyle w:val="42"/>
        <w:rPr>
          <w:rFonts w:ascii="黑体" w:eastAsia="黑体"/>
          <w:szCs w:val="21"/>
        </w:rPr>
      </w:pPr>
      <w:r>
        <w:rPr>
          <w:rFonts w:hint="eastAsia" w:ascii="黑体" w:eastAsia="黑体"/>
          <w:szCs w:val="21"/>
        </w:rPr>
        <w:t>原始数据</w:t>
      </w:r>
    </w:p>
    <w:p>
      <w:pPr>
        <w:pStyle w:val="42"/>
      </w:pPr>
      <w:r>
        <w:rPr>
          <w:rFonts w:hint="eastAsia"/>
        </w:rPr>
        <w:t>由不同网络运营者合法控制的数据，通常基于其业务、职能或提供的服务所收集、产生。</w:t>
      </w:r>
    </w:p>
    <w:p>
      <w:pPr>
        <w:pStyle w:val="73"/>
        <w:spacing w:before="156" w:after="156"/>
      </w:pPr>
      <w:bookmarkStart w:id="123" w:name="_Toc48050898"/>
      <w:bookmarkEnd w:id="123"/>
      <w:bookmarkStart w:id="124" w:name="_Toc47990664"/>
      <w:bookmarkEnd w:id="124"/>
      <w:bookmarkStart w:id="125" w:name="_Toc39667093"/>
      <w:bookmarkEnd w:id="125"/>
      <w:bookmarkStart w:id="126" w:name="_Toc39670219"/>
      <w:bookmarkEnd w:id="126"/>
      <w:bookmarkStart w:id="127" w:name="_Toc39667133"/>
      <w:bookmarkEnd w:id="127"/>
      <w:bookmarkStart w:id="128" w:name="_Toc46899367"/>
      <w:bookmarkEnd w:id="128"/>
      <w:bookmarkStart w:id="129" w:name="_Toc46899577"/>
      <w:bookmarkEnd w:id="129"/>
      <w:bookmarkStart w:id="130" w:name="_Toc53409574"/>
      <w:bookmarkEnd w:id="130"/>
    </w:p>
    <w:p>
      <w:pPr>
        <w:pStyle w:val="42"/>
      </w:pPr>
      <w:r>
        <w:rPr>
          <w:rFonts w:hint="eastAsia" w:ascii="黑体" w:eastAsia="黑体"/>
          <w:szCs w:val="21"/>
        </w:rPr>
        <w:t>数据价值</w:t>
      </w:r>
    </w:p>
    <w:p>
      <w:pPr>
        <w:pStyle w:val="42"/>
      </w:pPr>
      <w:r>
        <w:rPr>
          <w:rFonts w:hint="eastAsia"/>
        </w:rPr>
        <w:t>本标准中的数据价值特指无法反推出原始数据或个人信息的挖掘结果。具体类型包括但不局限于：聚合统计结果；探查、分析、预测、决策结论；可运算的加密数据；算法模型；策略化建议；无法识别个人的特征标签；经过混淆的不精准数据等。</w:t>
      </w:r>
    </w:p>
    <w:p>
      <w:pPr>
        <w:pStyle w:val="73"/>
        <w:spacing w:before="156" w:after="156"/>
      </w:pPr>
      <w:bookmarkStart w:id="131" w:name="_Toc53409575"/>
      <w:bookmarkEnd w:id="131"/>
    </w:p>
    <w:p>
      <w:pPr>
        <w:pStyle w:val="42"/>
        <w:rPr>
          <w:rFonts w:ascii="黑体" w:eastAsia="黑体"/>
          <w:szCs w:val="21"/>
        </w:rPr>
      </w:pPr>
      <w:r>
        <w:rPr>
          <w:rFonts w:hint="eastAsia" w:ascii="黑体" w:eastAsia="黑体"/>
          <w:szCs w:val="21"/>
        </w:rPr>
        <w:t>数据价值挖掘</w:t>
      </w:r>
    </w:p>
    <w:p>
      <w:pPr>
        <w:pStyle w:val="42"/>
      </w:pPr>
      <w:r>
        <w:rPr>
          <w:rFonts w:hint="eastAsia"/>
        </w:rPr>
        <w:t>在对原始数据进行包括去标识化等处理的基础上，对数据进行加工、分析、建模、聚合等处理，挖掘数据背后隐藏的价值，以用于分析、决策、预测等应用场景。</w:t>
      </w:r>
    </w:p>
    <w:p>
      <w:pPr>
        <w:pStyle w:val="73"/>
        <w:spacing w:before="156" w:after="156"/>
      </w:pPr>
      <w:bookmarkStart w:id="132" w:name="_Toc46899368"/>
      <w:bookmarkEnd w:id="132"/>
      <w:bookmarkStart w:id="133" w:name="_Toc48050899"/>
      <w:bookmarkEnd w:id="133"/>
      <w:bookmarkStart w:id="134" w:name="_Toc39670220"/>
      <w:bookmarkEnd w:id="134"/>
      <w:bookmarkStart w:id="135" w:name="_Toc46899578"/>
      <w:bookmarkEnd w:id="135"/>
      <w:bookmarkStart w:id="136" w:name="_Toc47990665"/>
      <w:bookmarkEnd w:id="136"/>
      <w:bookmarkStart w:id="137" w:name="_Toc53409576"/>
      <w:bookmarkEnd w:id="137"/>
      <w:bookmarkStart w:id="138" w:name="_Toc39667094"/>
      <w:bookmarkEnd w:id="138"/>
      <w:bookmarkStart w:id="139" w:name="_Toc39667134"/>
      <w:bookmarkEnd w:id="139"/>
    </w:p>
    <w:p>
      <w:pPr>
        <w:pStyle w:val="42"/>
        <w:rPr>
          <w:rFonts w:ascii="黑体" w:eastAsia="黑体"/>
          <w:szCs w:val="21"/>
        </w:rPr>
      </w:pPr>
      <w:r>
        <w:rPr>
          <w:rFonts w:hint="eastAsia" w:ascii="黑体" w:eastAsia="黑体"/>
          <w:szCs w:val="21"/>
        </w:rPr>
        <w:t xml:space="preserve">个人信息 personal information </w:t>
      </w:r>
    </w:p>
    <w:p>
      <w:pPr>
        <w:pStyle w:val="42"/>
      </w:pPr>
      <w:r>
        <w:rPr>
          <w:rFonts w:hint="eastAsia"/>
        </w:rPr>
        <w:t>以电子或者其他方式记录的能够单独或者与其他信息结合识别自然人个人身份的各种信息，包括但不限于自然人的姓名、出生日期、身份证件号码、个人生物识别信息、住址、电话号码等。</w:t>
      </w:r>
    </w:p>
    <w:p>
      <w:pPr>
        <w:pStyle w:val="73"/>
        <w:spacing w:before="156" w:after="156"/>
      </w:pPr>
      <w:bookmarkStart w:id="140" w:name="_Toc39667095"/>
      <w:bookmarkEnd w:id="140"/>
      <w:bookmarkStart w:id="141" w:name="_Toc39670221"/>
      <w:bookmarkEnd w:id="141"/>
      <w:bookmarkStart w:id="142" w:name="_Toc48050900"/>
      <w:bookmarkEnd w:id="142"/>
      <w:bookmarkStart w:id="143" w:name="_Toc46899369"/>
      <w:bookmarkEnd w:id="143"/>
      <w:bookmarkStart w:id="144" w:name="_Toc53409577"/>
      <w:bookmarkEnd w:id="144"/>
      <w:bookmarkStart w:id="145" w:name="_Toc46899579"/>
      <w:bookmarkEnd w:id="145"/>
      <w:bookmarkStart w:id="146" w:name="_Toc39667135"/>
      <w:bookmarkEnd w:id="146"/>
      <w:bookmarkStart w:id="147" w:name="_Toc47990666"/>
      <w:bookmarkEnd w:id="147"/>
    </w:p>
    <w:p>
      <w:pPr>
        <w:pStyle w:val="42"/>
        <w:rPr>
          <w:rFonts w:ascii="黑体" w:eastAsia="黑体"/>
          <w:szCs w:val="21"/>
        </w:rPr>
      </w:pPr>
      <w:r>
        <w:rPr>
          <w:rFonts w:hint="eastAsia" w:ascii="黑体" w:eastAsia="黑体"/>
          <w:szCs w:val="21"/>
        </w:rPr>
        <w:t xml:space="preserve">个人信息主体 personal information subject </w:t>
      </w:r>
    </w:p>
    <w:p>
      <w:pPr>
        <w:pStyle w:val="42"/>
      </w:pPr>
      <w:r>
        <w:rPr>
          <w:rFonts w:hint="eastAsia"/>
        </w:rPr>
        <w:t>个人信息所标识或者关联的自然人。</w:t>
      </w:r>
    </w:p>
    <w:p>
      <w:pPr>
        <w:pStyle w:val="42"/>
        <w:numPr>
          <w:ilvl w:val="1"/>
          <w:numId w:val="3"/>
        </w:numPr>
        <w:spacing w:before="156" w:beforeLines="50" w:after="156" w:afterLines="50"/>
        <w:ind w:firstLineChars="0"/>
        <w:rPr>
          <w:rFonts w:hAnsi="黑体" w:cs="Arial"/>
          <w:color w:val="333333"/>
          <w:shd w:val="clear" w:color="auto" w:fill="FFFFFF"/>
        </w:rPr>
      </w:pPr>
      <w:bookmarkStart w:id="148" w:name="_Toc39667136"/>
      <w:bookmarkEnd w:id="148"/>
      <w:bookmarkStart w:id="149" w:name="_Toc39670222"/>
      <w:bookmarkEnd w:id="149"/>
      <w:bookmarkStart w:id="150" w:name="_Toc46899370"/>
      <w:bookmarkEnd w:id="150"/>
      <w:bookmarkStart w:id="151" w:name="_Toc39667096"/>
      <w:bookmarkEnd w:id="151"/>
      <w:bookmarkStart w:id="152" w:name="_Toc48050901"/>
      <w:bookmarkEnd w:id="152"/>
      <w:bookmarkStart w:id="153" w:name="_Toc47990667"/>
      <w:bookmarkEnd w:id="153"/>
      <w:bookmarkStart w:id="154" w:name="_Toc46899580"/>
      <w:bookmarkEnd w:id="154"/>
      <w:bookmarkStart w:id="155" w:name="_Toc53409578"/>
      <w:bookmarkEnd w:id="155"/>
    </w:p>
    <w:p>
      <w:pPr>
        <w:pStyle w:val="42"/>
        <w:rPr>
          <w:rFonts w:ascii="黑体" w:eastAsia="黑体"/>
          <w:szCs w:val="21"/>
        </w:rPr>
      </w:pPr>
      <w:r>
        <w:rPr>
          <w:rFonts w:hint="eastAsia" w:ascii="黑体" w:eastAsia="黑体"/>
          <w:szCs w:val="21"/>
        </w:rPr>
        <w:t xml:space="preserve">去标识化 de-identification </w:t>
      </w:r>
    </w:p>
    <w:p>
      <w:pPr>
        <w:pStyle w:val="42"/>
      </w:pPr>
      <w:r>
        <w:rPr>
          <w:rFonts w:hint="eastAsia"/>
        </w:rPr>
        <w:t>通过对个人信息的技术处理，使其在不借助额外信息的情况下，无法识别或者关联个人信息主体的过程。</w:t>
      </w:r>
    </w:p>
    <w:p>
      <w:pPr>
        <w:ind w:firstLine="357"/>
        <w:rPr>
          <w:sz w:val="18"/>
          <w:szCs w:val="18"/>
        </w:rPr>
      </w:pPr>
      <w:r>
        <w:rPr>
          <w:rFonts w:hint="eastAsia" w:ascii="黑体" w:hAnsi="黑体" w:eastAsia="黑体"/>
          <w:sz w:val="18"/>
          <w:szCs w:val="18"/>
        </w:rPr>
        <w:t>注:</w:t>
      </w:r>
      <w:r>
        <w:rPr>
          <w:rFonts w:hint="eastAsia"/>
          <w:sz w:val="18"/>
          <w:szCs w:val="18"/>
        </w:rPr>
        <w:t xml:space="preserve">去标识化建立在个体基础之上，保留了个体颗粒度，采用假名、加密、哈希函数等技术手段替代对个人信息的标识。 </w:t>
      </w:r>
    </w:p>
    <w:p>
      <w:pPr>
        <w:pStyle w:val="76"/>
        <w:spacing w:before="312" w:after="312"/>
      </w:pPr>
      <w:bookmarkStart w:id="156" w:name="_Toc53409579"/>
      <w:r>
        <w:rPr>
          <w:rFonts w:hint="eastAsia"/>
        </w:rPr>
        <w:t>可信体系框架</w:t>
      </w:r>
      <w:bookmarkEnd w:id="156"/>
    </w:p>
    <w:p>
      <w:pPr>
        <w:pStyle w:val="42"/>
      </w:pPr>
      <w:r>
        <w:rPr>
          <w:rFonts w:hint="eastAsia"/>
        </w:rPr>
        <w:t>本标准给出了针对多方数据价值挖掘，建设可信体系的基本框架，其中包括: 针对可挖掘数据的预处理、可信挖掘区域建设、数据进入挖掘区域、数据挖掘实施、数据价值输出、数据价值使用、可信体系保障等。</w:t>
      </w:r>
    </w:p>
    <w:p>
      <w:pPr>
        <w:pStyle w:val="73"/>
        <w:spacing w:before="156" w:after="156"/>
      </w:pPr>
      <w:bookmarkStart w:id="157" w:name="_Toc53409580"/>
      <w:r>
        <w:rPr>
          <w:rFonts w:hint="eastAsia"/>
        </w:rPr>
        <w:t>可信基本原则</w:t>
      </w:r>
      <w:bookmarkEnd w:id="157"/>
    </w:p>
    <w:p>
      <w:pPr>
        <w:pStyle w:val="42"/>
      </w:pPr>
      <w:r>
        <w:rPr>
          <w:rFonts w:hint="eastAsia"/>
        </w:rPr>
        <w:t>可信基本原则包括：数据价值打通而原始数据不打通、保护数据主体权益不受侵害、保护数据控制者正当利益不受侵害、确保数据挖掘区域运营者独立性和可信性、不得滥用数据价值、全链路可审计追溯。</w:t>
      </w:r>
    </w:p>
    <w:p>
      <w:pPr>
        <w:pStyle w:val="73"/>
        <w:spacing w:before="156" w:after="156"/>
      </w:pPr>
      <w:bookmarkStart w:id="158" w:name="_Toc38213616"/>
      <w:bookmarkStart w:id="159" w:name="_Toc53409581"/>
      <w:r>
        <w:rPr>
          <w:rFonts w:hint="eastAsia"/>
        </w:rPr>
        <w:t>多方数据价值挖掘的典型需求和可应用场景</w:t>
      </w:r>
      <w:bookmarkEnd w:id="158"/>
      <w:bookmarkEnd w:id="159"/>
    </w:p>
    <w:p>
      <w:pPr>
        <w:pStyle w:val="42"/>
      </w:pPr>
      <w:r>
        <w:rPr>
          <w:rFonts w:hint="eastAsia"/>
        </w:rPr>
        <w:t>典型需求包括：聚合统计、决策分析、数据探查、数据资产建设、模型训练及模型预测、提供策略化建议以及其他无法精准反推出原始数据的数据价值输出场景。上述需求可能出现在政府数据开放、学术科研数据分析、商业数据应用等常见的数据应用场景中。</w:t>
      </w:r>
    </w:p>
    <w:p>
      <w:pPr>
        <w:pStyle w:val="73"/>
        <w:spacing w:before="156" w:after="156"/>
      </w:pPr>
      <w:bookmarkStart w:id="160" w:name="_Toc38213617"/>
      <w:bookmarkStart w:id="161" w:name="_Toc53409582"/>
      <w:r>
        <w:rPr>
          <w:rFonts w:hint="eastAsia"/>
        </w:rPr>
        <w:t>多方数据价值挖掘可信体系的基本架构</w:t>
      </w:r>
      <w:bookmarkEnd w:id="160"/>
      <w:r>
        <w:rPr>
          <w:rFonts w:hint="eastAsia"/>
        </w:rPr>
        <w:t>特点</w:t>
      </w:r>
      <w:bookmarkEnd w:id="161"/>
    </w:p>
    <w:p>
      <w:pPr>
        <w:pStyle w:val="42"/>
      </w:pPr>
      <w:r>
        <w:rPr>
          <w:rFonts w:hint="eastAsia"/>
        </w:rPr>
        <w:t>多方数据价值挖掘可信体系的基本架构特点为：数据宽进严出，充分挖掘，最小使用；价值挖掘中间层资产可沉淀复用；数据链路可追溯，行为可审计，风险可管理；多方数据价值挖掘区域为可信计算平台；如果原始数据中包含个人信息，应当在进入价值挖掘区域之前做去标识化处理，或采用隐私计算技术（可信执行环境、多方安全计算、同态加密、功能加密等）对多方数据进行加密处理。</w:t>
      </w:r>
    </w:p>
    <w:p>
      <w:pPr>
        <w:pStyle w:val="42"/>
      </w:pPr>
      <w:r>
        <w:rPr>
          <w:rFonts w:hint="eastAsia"/>
        </w:rPr>
        <w:t>基本架构如下图所示。</w:t>
      </w:r>
    </w:p>
    <w:p>
      <w:pPr>
        <w:pStyle w:val="73"/>
        <w:numPr>
          <w:ilvl w:val="0"/>
          <w:numId w:val="0"/>
        </w:numPr>
        <w:spacing w:before="156" w:after="156"/>
        <w:jc w:val="center"/>
      </w:pPr>
      <w:bookmarkStart w:id="162" w:name="_Toc46899375"/>
      <w:bookmarkStart w:id="163" w:name="_Toc46899585"/>
      <w:bookmarkStart w:id="164" w:name="_Toc47990672"/>
      <w:bookmarkStart w:id="165" w:name="_Toc48050906"/>
      <w:bookmarkStart w:id="166" w:name="_Toc53409583"/>
      <w:r>
        <w:drawing>
          <wp:inline distT="0" distB="0" distL="0" distR="0">
            <wp:extent cx="5940425" cy="3069590"/>
            <wp:effectExtent l="0" t="0" r="3175" b="381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4"/>
                    <a:stretch>
                      <a:fillRect/>
                    </a:stretch>
                  </pic:blipFill>
                  <pic:spPr>
                    <a:xfrm>
                      <a:off x="0" y="0"/>
                      <a:ext cx="5940425" cy="3069590"/>
                    </a:xfrm>
                    <a:prstGeom prst="rect">
                      <a:avLst/>
                    </a:prstGeom>
                  </pic:spPr>
                </pic:pic>
              </a:graphicData>
            </a:graphic>
          </wp:inline>
        </w:drawing>
      </w:r>
      <w:bookmarkEnd w:id="162"/>
      <w:bookmarkEnd w:id="163"/>
      <w:bookmarkEnd w:id="164"/>
      <w:bookmarkEnd w:id="165"/>
      <w:bookmarkEnd w:id="166"/>
    </w:p>
    <w:p>
      <w:pPr>
        <w:pStyle w:val="156"/>
        <w:spacing w:before="156" w:after="156"/>
      </w:pPr>
      <w:r>
        <w:rPr>
          <w:rFonts w:hint="eastAsia"/>
        </w:rPr>
        <w:t>图1　多方数据价值挖掘体系的基本架构</w:t>
      </w:r>
    </w:p>
    <w:p>
      <w:pPr>
        <w:pStyle w:val="73"/>
        <w:spacing w:before="156" w:after="156"/>
      </w:pPr>
      <w:bookmarkStart w:id="167" w:name="_Toc53409584"/>
      <w:bookmarkStart w:id="168" w:name="_Toc38213618"/>
      <w:r>
        <w:rPr>
          <w:rFonts w:hint="eastAsia"/>
        </w:rPr>
        <w:t>可挖掘数据范围</w:t>
      </w:r>
      <w:bookmarkEnd w:id="167"/>
      <w:bookmarkEnd w:id="168"/>
    </w:p>
    <w:p>
      <w:pPr>
        <w:pStyle w:val="42"/>
      </w:pPr>
      <w:r>
        <w:rPr>
          <w:rFonts w:hint="eastAsia"/>
        </w:rPr>
        <w:t>原则上网络运营者收集、产生的数据均可以根据本标准搭建的可信体系进行数据价值的挖掘，但以下数据除外：</w:t>
      </w:r>
    </w:p>
    <w:p>
      <w:pPr>
        <w:pStyle w:val="42"/>
      </w:pPr>
      <w:r>
        <w:rPr>
          <w:rFonts w:hint="eastAsia" w:ascii="Times New Roman"/>
        </w:rPr>
        <w:t>——</w:t>
      </w:r>
      <w:r>
        <w:rPr>
          <w:rFonts w:hint="eastAsia"/>
        </w:rPr>
        <w:t>根据国家法律法规或者监管部门规定，禁止进行多方数据价值挖掘的数据；</w:t>
      </w:r>
    </w:p>
    <w:p>
      <w:pPr>
        <w:pStyle w:val="42"/>
      </w:pPr>
      <w:r>
        <w:rPr>
          <w:rFonts w:ascii="Times New Roman"/>
        </w:rPr>
        <w:t>——</w:t>
      </w:r>
      <w:r>
        <w:rPr>
          <w:rFonts w:hint="eastAsia"/>
        </w:rPr>
        <w:t>没有经过去标识化处理的个人信息；</w:t>
      </w:r>
    </w:p>
    <w:p>
      <w:pPr>
        <w:pStyle w:val="42"/>
      </w:pPr>
      <w:r>
        <w:rPr>
          <w:rFonts w:ascii="Times New Roman"/>
        </w:rPr>
        <w:t>——</w:t>
      </w:r>
      <w:r>
        <w:rPr>
          <w:rFonts w:hint="eastAsia"/>
        </w:rPr>
        <w:t>来源违法或者违反合同义务约定的数据；</w:t>
      </w:r>
    </w:p>
    <w:p>
      <w:pPr>
        <w:pStyle w:val="42"/>
      </w:pPr>
      <w:r>
        <w:rPr>
          <w:rFonts w:ascii="Times New Roman"/>
        </w:rPr>
        <w:t>——</w:t>
      </w:r>
      <w:r>
        <w:rPr>
          <w:rFonts w:hint="eastAsia"/>
        </w:rPr>
        <w:t xml:space="preserve">个人生物识别信息； </w:t>
      </w:r>
    </w:p>
    <w:p>
      <w:pPr>
        <w:pStyle w:val="42"/>
      </w:pPr>
      <w:r>
        <w:rPr>
          <w:rFonts w:ascii="Times New Roman"/>
        </w:rPr>
        <w:t>——</w:t>
      </w:r>
      <w:r>
        <w:rPr>
          <w:rFonts w:hint="eastAsia"/>
        </w:rPr>
        <w:t>进行数据价值挖掘后可能对国家安全、社会公共利益以及他人的合法权益造成危害的数据。</w:t>
      </w:r>
    </w:p>
    <w:p>
      <w:pPr>
        <w:pStyle w:val="73"/>
        <w:spacing w:before="156" w:after="156"/>
      </w:pPr>
      <w:bookmarkStart w:id="169" w:name="_Toc53409587"/>
      <w:bookmarkStart w:id="170" w:name="_Toc38213620"/>
      <w:r>
        <w:rPr>
          <w:rFonts w:hint="eastAsia"/>
        </w:rPr>
        <w:t>确保多方数据价值挖掘可信的关键技术能力</w:t>
      </w:r>
      <w:bookmarkEnd w:id="169"/>
      <w:bookmarkEnd w:id="170"/>
    </w:p>
    <w:p>
      <w:pPr>
        <w:pStyle w:val="77"/>
        <w:spacing w:before="156" w:after="156"/>
        <w:ind w:left="0"/>
      </w:pPr>
      <w:r>
        <w:rPr>
          <w:rFonts w:hint="eastAsia"/>
        </w:rPr>
        <w:t>概述</w:t>
      </w:r>
    </w:p>
    <w:p>
      <w:pPr>
        <w:pStyle w:val="42"/>
        <w:rPr>
          <w:color w:val="000000" w:themeColor="text1"/>
          <w14:textFill>
            <w14:solidFill>
              <w14:schemeClr w14:val="tx1"/>
            </w14:solidFill>
          </w14:textFill>
        </w:rPr>
      </w:pPr>
      <w:r>
        <w:rPr>
          <w:rFonts w:hint="eastAsia"/>
        </w:rPr>
        <w:t>为确保多方数据价值挖掘的可信性，可采取以下技术能力：个人信息去标识化、全链路列级血缘、未去标识化个人信息和个人生物识别信息识别/使用拦截、数据真实性验证、主体打标、数据分类分级、数据安全网关、全景权限管控、</w:t>
      </w:r>
      <w:r>
        <w:rPr>
          <w:rFonts w:hint="eastAsia"/>
          <w:color w:val="000000" w:themeColor="text1"/>
          <w14:textFill>
            <w14:solidFill>
              <w14:schemeClr w14:val="tx1"/>
            </w14:solidFill>
          </w14:textFill>
        </w:rPr>
        <w:t>数据流转管控、数据访问风控、动态数据脱敏、智能行为审计、隐私计算。</w:t>
      </w:r>
    </w:p>
    <w:p>
      <w:pPr>
        <w:pStyle w:val="77"/>
        <w:spacing w:before="156" w:after="156"/>
        <w:ind w:left="0"/>
      </w:pPr>
      <w:r>
        <w:rPr>
          <w:rFonts w:hint="eastAsia"/>
        </w:rPr>
        <w:t>个人信息去</w:t>
      </w:r>
      <w:r>
        <w:t>标识化</w:t>
      </w:r>
    </w:p>
    <w:p>
      <w:pPr>
        <w:pStyle w:val="42"/>
        <w:rPr>
          <w:color w:val="000000" w:themeColor="text1"/>
          <w14:textFill>
            <w14:solidFill>
              <w14:schemeClr w14:val="tx1"/>
            </w14:solidFill>
          </w14:textFill>
        </w:rPr>
      </w:pPr>
      <w:r>
        <w:rPr>
          <w:rFonts w:hint="eastAsia"/>
          <w:color w:val="000000" w:themeColor="text1"/>
          <w14:textFill>
            <w14:solidFill>
              <w14:schemeClr w14:val="tx1"/>
            </w14:solidFill>
          </w14:textFill>
        </w:rPr>
        <w:t>去标识化是对直接标识符和准标识符进行删除或变换，而且能控制避免被重标识的风险，最后确保去标识化后的数据集可用。</w:t>
      </w:r>
    </w:p>
    <w:p>
      <w:pPr>
        <w:pStyle w:val="42"/>
        <w:rPr>
          <w:color w:val="000000" w:themeColor="text1"/>
          <w14:textFill>
            <w14:solidFill>
              <w14:schemeClr w14:val="tx1"/>
            </w14:solidFill>
          </w14:textFill>
        </w:rPr>
      </w:pPr>
      <w:r>
        <w:rPr>
          <w:color w:val="000000" w:themeColor="text1"/>
          <w14:textFill>
            <w14:solidFill>
              <w14:schemeClr w14:val="tx1"/>
            </w14:solidFill>
          </w14:textFill>
        </w:rPr>
        <w:t>处理标识步骤分为预处理、选择模型技术、实施去标识化三个阶段</w:t>
      </w:r>
      <w:r>
        <w:rPr>
          <w:rFonts w:hint="eastAsia"/>
          <w:color w:val="000000" w:themeColor="text1"/>
          <w14:textFill>
            <w14:solidFill>
              <w14:schemeClr w14:val="tx1"/>
            </w14:solidFill>
          </w14:textFill>
        </w:rPr>
        <w:t>。</w:t>
      </w:r>
    </w:p>
    <w:p>
      <w:pPr>
        <w:pStyle w:val="42"/>
        <w:rPr>
          <w:color w:val="000000" w:themeColor="text1"/>
          <w14:textFill>
            <w14:solidFill>
              <w14:schemeClr w14:val="tx1"/>
            </w14:solidFill>
          </w14:textFill>
        </w:rPr>
      </w:pPr>
      <w:r>
        <w:rPr>
          <w:rFonts w:hint="eastAsia"/>
          <w:color w:val="000000" w:themeColor="text1"/>
          <w14:textFill>
            <w14:solidFill>
              <w14:schemeClr w14:val="tx1"/>
            </w14:solidFill>
          </w14:textFill>
        </w:rPr>
        <w:t>去标识化的技术主要有：加密、加盐哈希、删除、</w:t>
      </w:r>
      <w:r>
        <w:rPr>
          <w:color w:val="000000" w:themeColor="text1"/>
          <w14:textFill>
            <w14:solidFill>
              <w14:schemeClr w14:val="tx1"/>
            </w14:solidFill>
          </w14:textFill>
        </w:rPr>
        <w:t>K</w:t>
      </w:r>
      <w:r>
        <w:rPr>
          <w:rFonts w:hint="eastAsia"/>
          <w:color w:val="000000" w:themeColor="text1"/>
          <w14:textFill>
            <w14:solidFill>
              <w14:schemeClr w14:val="tx1"/>
            </w14:solidFill>
          </w14:textFill>
        </w:rPr>
        <w:t>匿名、</w:t>
      </w:r>
      <w:r>
        <w:rPr>
          <w:color w:val="000000" w:themeColor="text1"/>
          <w14:textFill>
            <w14:solidFill>
              <w14:schemeClr w14:val="tx1"/>
            </w14:solidFill>
          </w14:textFill>
        </w:rPr>
        <w:t>L</w:t>
      </w:r>
      <w:r>
        <w:rPr>
          <w:rFonts w:hint="eastAsia"/>
          <w:color w:val="000000" w:themeColor="text1"/>
          <w14:textFill>
            <w14:solidFill>
              <w14:schemeClr w14:val="tx1"/>
            </w14:solidFill>
          </w14:textFill>
        </w:rPr>
        <w:t>多样性等。</w:t>
      </w:r>
    </w:p>
    <w:p>
      <w:pPr>
        <w:pStyle w:val="77"/>
        <w:spacing w:before="156" w:after="156"/>
        <w:ind w:left="0"/>
      </w:pPr>
      <w:r>
        <w:rPr>
          <w:rFonts w:hint="eastAsia"/>
        </w:rPr>
        <w:t>数据安全</w:t>
      </w:r>
      <w:r>
        <w:t>网关</w:t>
      </w:r>
    </w:p>
    <w:p>
      <w:pPr>
        <w:pStyle w:val="42"/>
        <w:rPr>
          <w:color w:val="000000" w:themeColor="text1"/>
          <w14:textFill>
            <w14:solidFill>
              <w14:schemeClr w14:val="tx1"/>
            </w14:solidFill>
          </w14:textFill>
        </w:rPr>
      </w:pPr>
      <w:r>
        <w:rPr>
          <w:rFonts w:hint="eastAsia"/>
          <w:color w:val="000000" w:themeColor="text1"/>
          <w14:textFill>
            <w14:solidFill>
              <w14:schemeClr w14:val="tx1"/>
            </w14:solidFill>
          </w14:textFill>
        </w:rPr>
        <w:t>数据</w:t>
      </w:r>
      <w:r>
        <w:rPr>
          <w:color w:val="000000" w:themeColor="text1"/>
          <w14:textFill>
            <w14:solidFill>
              <w14:schemeClr w14:val="tx1"/>
            </w14:solidFill>
          </w14:textFill>
        </w:rPr>
        <w:t>安全网关</w:t>
      </w:r>
      <w:r>
        <w:rPr>
          <w:rFonts w:hint="eastAsia"/>
          <w:color w:val="000000" w:themeColor="text1"/>
          <w14:textFill>
            <w14:solidFill>
              <w14:schemeClr w14:val="tx1"/>
            </w14:solidFill>
          </w14:textFill>
        </w:rPr>
        <w:t>技术能力</w:t>
      </w:r>
      <w:r>
        <w:rPr>
          <w:color w:val="000000" w:themeColor="text1"/>
          <w14:textFill>
            <w14:solidFill>
              <w14:schemeClr w14:val="tx1"/>
            </w14:solidFill>
          </w14:textFill>
        </w:rPr>
        <w:t>包括：</w:t>
      </w:r>
    </w:p>
    <w:p>
      <w:pPr>
        <w:pStyle w:val="42"/>
        <w:rPr>
          <w:color w:val="000000" w:themeColor="text1"/>
          <w14:textFill>
            <w14:solidFill>
              <w14:schemeClr w14:val="tx1"/>
            </w14:solidFill>
          </w14:textFill>
        </w:rPr>
      </w:pPr>
      <w:r>
        <w:rPr>
          <w:color w:val="000000" w:themeColor="text1"/>
          <w14:textFill>
            <w14:solidFill>
              <w14:schemeClr w14:val="tx1"/>
            </w14:solidFill>
          </w14:textFill>
        </w:rPr>
        <w:t>a</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对于网关账户，建立账户安全体系，控制账号接口访问权限</w:t>
      </w:r>
      <w:r>
        <w:rPr>
          <w:rFonts w:hint="eastAsia"/>
          <w:color w:val="000000" w:themeColor="text1"/>
          <w14:textFill>
            <w14:solidFill>
              <w14:schemeClr w14:val="tx1"/>
            </w14:solidFill>
          </w14:textFill>
        </w:rPr>
        <w:t>；</w:t>
      </w:r>
    </w:p>
    <w:p>
      <w:pPr>
        <w:pStyle w:val="42"/>
        <w:rPr>
          <w:color w:val="000000" w:themeColor="text1"/>
          <w14:textFill>
            <w14:solidFill>
              <w14:schemeClr w14:val="tx1"/>
            </w14:solidFill>
          </w14:textFill>
        </w:rPr>
      </w:pPr>
      <w:r>
        <w:rPr>
          <w:color w:val="000000" w:themeColor="text1"/>
          <w14:textFill>
            <w14:solidFill>
              <w14:schemeClr w14:val="tx1"/>
            </w14:solidFill>
          </w14:textFill>
        </w:rPr>
        <w:t>b</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对于数据的</w:t>
      </w:r>
      <w:r>
        <w:rPr>
          <w:rFonts w:hint="eastAsia"/>
          <w:color w:val="000000" w:themeColor="text1"/>
          <w14:textFill>
            <w14:solidFill>
              <w14:schemeClr w14:val="tx1"/>
            </w14:solidFill>
          </w14:textFill>
        </w:rPr>
        <w:t>访问</w:t>
      </w:r>
      <w:r>
        <w:rPr>
          <w:color w:val="000000" w:themeColor="text1"/>
          <w14:textFill>
            <w14:solidFill>
              <w14:schemeClr w14:val="tx1"/>
            </w14:solidFill>
          </w14:textFill>
        </w:rPr>
        <w:t>，加密记录数据请求日志</w:t>
      </w:r>
      <w:r>
        <w:rPr>
          <w:rFonts w:hint="eastAsia"/>
          <w:color w:val="000000" w:themeColor="text1"/>
          <w14:textFill>
            <w14:solidFill>
              <w14:schemeClr w14:val="tx1"/>
            </w14:solidFill>
          </w14:textFill>
        </w:rPr>
        <w:t>；</w:t>
      </w:r>
    </w:p>
    <w:p>
      <w:pPr>
        <w:pStyle w:val="42"/>
        <w:rPr>
          <w:color w:val="000000" w:themeColor="text1"/>
          <w14:textFill>
            <w14:solidFill>
              <w14:schemeClr w14:val="tx1"/>
            </w14:solidFill>
          </w14:textFill>
        </w:rPr>
      </w:pPr>
      <w:r>
        <w:rPr>
          <w:color w:val="000000" w:themeColor="text1"/>
          <w14:textFill>
            <w14:solidFill>
              <w14:schemeClr w14:val="tx1"/>
            </w14:solidFill>
          </w14:textFill>
        </w:rPr>
        <w:t>c</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在网关稳定方面，集群需要可弹性扩容并支持超大并发</w:t>
      </w:r>
      <w:r>
        <w:rPr>
          <w:rFonts w:hint="eastAsia"/>
          <w:color w:val="000000" w:themeColor="text1"/>
          <w14:textFill>
            <w14:solidFill>
              <w14:schemeClr w14:val="tx1"/>
            </w14:solidFill>
          </w14:textFill>
        </w:rPr>
        <w:t>；</w:t>
      </w:r>
    </w:p>
    <w:p>
      <w:pPr>
        <w:pStyle w:val="42"/>
        <w:rPr>
          <w:color w:val="000000" w:themeColor="text1"/>
          <w14:textFill>
            <w14:solidFill>
              <w14:schemeClr w14:val="tx1"/>
            </w14:solidFill>
          </w14:textFill>
        </w:rPr>
      </w:pPr>
      <w:r>
        <w:rPr>
          <w:color w:val="000000" w:themeColor="text1"/>
          <w14:textFill>
            <w14:solidFill>
              <w14:schemeClr w14:val="tx1"/>
            </w14:solidFill>
          </w14:textFill>
        </w:rPr>
        <w:t>d</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在安全方面，支持HTTPS协议，并提供防DDoS/CC等功能</w:t>
      </w:r>
      <w:r>
        <w:rPr>
          <w:rFonts w:hint="eastAsia"/>
          <w:color w:val="000000" w:themeColor="text1"/>
          <w14:textFill>
            <w14:solidFill>
              <w14:schemeClr w14:val="tx1"/>
            </w14:solidFill>
          </w14:textFill>
        </w:rPr>
        <w:t>。</w:t>
      </w:r>
    </w:p>
    <w:p>
      <w:pPr>
        <w:pStyle w:val="77"/>
        <w:spacing w:before="156" w:after="156"/>
        <w:ind w:left="0"/>
      </w:pPr>
      <w:r>
        <w:rPr>
          <w:rFonts w:hint="eastAsia"/>
        </w:rPr>
        <w:t>数据真实性验证</w:t>
      </w:r>
    </w:p>
    <w:p>
      <w:pPr>
        <w:pStyle w:val="42"/>
        <w:rPr>
          <w:color w:val="000000" w:themeColor="text1"/>
          <w14:textFill>
            <w14:solidFill>
              <w14:schemeClr w14:val="tx1"/>
            </w14:solidFill>
          </w14:textFill>
        </w:rPr>
      </w:pPr>
      <w:r>
        <w:rPr>
          <w:rFonts w:hint="eastAsia"/>
          <w:color w:val="000000" w:themeColor="text1"/>
          <w14:textFill>
            <w14:solidFill>
              <w14:schemeClr w14:val="tx1"/>
            </w14:solidFill>
          </w14:textFill>
        </w:rPr>
        <w:t>数据真实性验证技术</w:t>
      </w:r>
      <w:r>
        <w:rPr>
          <w:color w:val="000000" w:themeColor="text1"/>
          <w14:textFill>
            <w14:solidFill>
              <w14:schemeClr w14:val="tx1"/>
            </w14:solidFill>
          </w14:textFill>
        </w:rPr>
        <w:t>能力包括：</w:t>
      </w:r>
    </w:p>
    <w:p>
      <w:pPr>
        <w:pStyle w:val="42"/>
        <w:rPr>
          <w:color w:val="000000" w:themeColor="text1"/>
          <w14:textFill>
            <w14:solidFill>
              <w14:schemeClr w14:val="tx1"/>
            </w14:solidFill>
          </w14:textFill>
        </w:rPr>
      </w:pPr>
      <w:r>
        <w:rPr>
          <w:color w:val="000000" w:themeColor="text1"/>
          <w14:textFill>
            <w14:solidFill>
              <w14:schemeClr w14:val="tx1"/>
            </w14:solidFill>
          </w14:textFill>
        </w:rPr>
        <w:t>a</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使用</w:t>
      </w:r>
      <w:r>
        <w:rPr>
          <w:rFonts w:hint="eastAsia"/>
          <w:color w:val="000000" w:themeColor="text1"/>
          <w14:textFill>
            <w14:solidFill>
              <w14:schemeClr w14:val="tx1"/>
            </w14:solidFill>
          </w14:textFill>
        </w:rPr>
        <w:t>区块链、</w:t>
      </w:r>
      <w:r>
        <w:rPr>
          <w:color w:val="000000" w:themeColor="text1"/>
          <w14:textFill>
            <w14:solidFill>
              <w14:schemeClr w14:val="tx1"/>
            </w14:solidFill>
          </w14:textFill>
        </w:rPr>
        <w:t>数字签名、电子存证、可信机构</w:t>
      </w:r>
      <w:r>
        <w:rPr>
          <w:rFonts w:hint="eastAsia"/>
          <w:color w:val="000000" w:themeColor="text1"/>
          <w14:textFill>
            <w14:solidFill>
              <w14:schemeClr w14:val="tx1"/>
            </w14:solidFill>
          </w14:textFill>
        </w:rPr>
        <w:t>的</w:t>
      </w:r>
      <w:r>
        <w:rPr>
          <w:color w:val="000000" w:themeColor="text1"/>
          <w14:textFill>
            <w14:solidFill>
              <w14:schemeClr w14:val="tx1"/>
            </w14:solidFill>
          </w14:textFill>
        </w:rPr>
        <w:t>数据认证</w:t>
      </w:r>
      <w:r>
        <w:rPr>
          <w:rFonts w:hint="eastAsia"/>
          <w:color w:val="000000" w:themeColor="text1"/>
          <w14:textFill>
            <w14:solidFill>
              <w14:schemeClr w14:val="tx1"/>
            </w14:solidFill>
          </w14:textFill>
        </w:rPr>
        <w:t>等，保证数据可验证；</w:t>
      </w:r>
    </w:p>
    <w:p>
      <w:pPr>
        <w:pStyle w:val="42"/>
        <w:rPr>
          <w:color w:val="000000" w:themeColor="text1"/>
          <w14:textFill>
            <w14:solidFill>
              <w14:schemeClr w14:val="tx1"/>
            </w14:solidFill>
          </w14:textFill>
        </w:rPr>
      </w:pPr>
      <w:r>
        <w:rPr>
          <w:rFonts w:hint="eastAsia"/>
          <w:color w:val="000000" w:themeColor="text1"/>
          <w14:textFill>
            <w14:solidFill>
              <w14:schemeClr w14:val="tx1"/>
            </w14:solidFill>
          </w14:textFill>
        </w:rPr>
        <w:t>b)</w:t>
      </w:r>
      <w:r>
        <w:rPr>
          <w:color w:val="000000" w:themeColor="text1"/>
          <w14:textFill>
            <w14:solidFill>
              <w14:schemeClr w14:val="tx1"/>
            </w14:solidFill>
          </w14:textFill>
        </w:rPr>
        <w:t xml:space="preserve"> 通过使用“零知识证明”的密码学手段，在各方不泄露信息的情况下，对数据真实性进行验证</w:t>
      </w:r>
      <w:r>
        <w:rPr>
          <w:rFonts w:hint="eastAsia"/>
          <w:color w:val="000000" w:themeColor="text1"/>
          <w14:textFill>
            <w14:solidFill>
              <w14:schemeClr w14:val="tx1"/>
            </w14:solidFill>
          </w14:textFill>
        </w:rPr>
        <w:t>。</w:t>
      </w:r>
    </w:p>
    <w:p>
      <w:pPr>
        <w:pStyle w:val="77"/>
        <w:spacing w:before="156" w:after="156"/>
        <w:ind w:left="0"/>
      </w:pPr>
      <w:r>
        <w:rPr>
          <w:rFonts w:hint="eastAsia"/>
        </w:rPr>
        <w:t>数据安全流转管控</w:t>
      </w:r>
    </w:p>
    <w:p>
      <w:pPr>
        <w:pStyle w:val="42"/>
        <w:rPr>
          <w:color w:val="000000" w:themeColor="text1"/>
          <w14:textFill>
            <w14:solidFill>
              <w14:schemeClr w14:val="tx1"/>
            </w14:solidFill>
          </w14:textFill>
        </w:rPr>
      </w:pPr>
      <w:r>
        <w:rPr>
          <w:color w:val="000000" w:themeColor="text1"/>
          <w14:textFill>
            <w14:solidFill>
              <w14:schemeClr w14:val="tx1"/>
            </w14:solidFill>
          </w14:textFill>
        </w:rPr>
        <w:t>详细记录</w:t>
      </w:r>
      <w:r>
        <w:rPr>
          <w:rFonts w:hint="eastAsia"/>
          <w:color w:val="000000" w:themeColor="text1"/>
          <w14:textFill>
            <w14:solidFill>
              <w14:schemeClr w14:val="tx1"/>
            </w14:solidFill>
          </w14:textFill>
        </w:rPr>
        <w:t>数据流转环节</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分析数据</w:t>
      </w:r>
      <w:r>
        <w:rPr>
          <w:color w:val="000000" w:themeColor="text1"/>
          <w14:textFill>
            <w14:solidFill>
              <w14:schemeClr w14:val="tx1"/>
            </w14:solidFill>
          </w14:textFill>
        </w:rPr>
        <w:t>流转痕迹</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主要使用的</w:t>
      </w:r>
      <w:r>
        <w:rPr>
          <w:rFonts w:hint="eastAsia"/>
          <w:color w:val="000000" w:themeColor="text1"/>
          <w14:textFill>
            <w14:solidFill>
              <w14:schemeClr w14:val="tx1"/>
            </w14:solidFill>
          </w14:textFill>
        </w:rPr>
        <w:t>办法</w:t>
      </w:r>
      <w:r>
        <w:rPr>
          <w:color w:val="000000" w:themeColor="text1"/>
          <w14:textFill>
            <w14:solidFill>
              <w14:schemeClr w14:val="tx1"/>
            </w14:solidFill>
          </w14:textFill>
        </w:rPr>
        <w:t>：</w:t>
      </w:r>
    </w:p>
    <w:p>
      <w:pPr>
        <w:pStyle w:val="42"/>
        <w:rPr>
          <w:color w:val="000000" w:themeColor="text1"/>
          <w14:textFill>
            <w14:solidFill>
              <w14:schemeClr w14:val="tx1"/>
            </w14:solidFill>
          </w14:textFill>
        </w:rPr>
      </w:pPr>
      <w:r>
        <w:rPr>
          <w:color w:val="000000" w:themeColor="text1"/>
          <w14:textFill>
            <w14:solidFill>
              <w14:schemeClr w14:val="tx1"/>
            </w14:solidFill>
          </w14:textFill>
        </w:rPr>
        <w:t>a</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对数据流转事件采用人工审核、机器审核等多种审核机制</w:t>
      </w:r>
    </w:p>
    <w:p>
      <w:pPr>
        <w:pStyle w:val="42"/>
        <w:rPr>
          <w:color w:val="000000" w:themeColor="text1"/>
          <w14:textFill>
            <w14:solidFill>
              <w14:schemeClr w14:val="tx1"/>
            </w14:solidFill>
          </w14:textFill>
        </w:rPr>
      </w:pPr>
      <w:r>
        <w:rPr>
          <w:rFonts w:hint="eastAsia"/>
          <w:color w:val="000000" w:themeColor="text1"/>
          <w14:textFill>
            <w14:solidFill>
              <w14:schemeClr w14:val="tx1"/>
            </w14:solidFill>
          </w14:textFill>
        </w:rPr>
        <w:t>b)</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记录数据流转的详细过程，保证数据流转行为可追溯</w:t>
      </w:r>
    </w:p>
    <w:p>
      <w:pPr>
        <w:pStyle w:val="42"/>
        <w:rPr>
          <w:color w:val="000000" w:themeColor="text1"/>
          <w14:textFill>
            <w14:solidFill>
              <w14:schemeClr w14:val="tx1"/>
            </w14:solidFill>
          </w14:textFill>
        </w:rPr>
      </w:pPr>
      <w:r>
        <w:rPr>
          <w:rFonts w:hint="eastAsia"/>
          <w:color w:val="000000" w:themeColor="text1"/>
          <w14:textFill>
            <w14:solidFill>
              <w14:schemeClr w14:val="tx1"/>
            </w14:solidFill>
          </w14:textFill>
        </w:rPr>
        <w:t>c)</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可以采用文档加密、数据脱敏等手段，保证数据的安全流转</w:t>
      </w:r>
    </w:p>
    <w:p>
      <w:pPr>
        <w:pStyle w:val="77"/>
        <w:spacing w:before="156" w:after="156"/>
        <w:ind w:left="0"/>
      </w:pPr>
      <w:r>
        <w:rPr>
          <w:rFonts w:hint="eastAsia"/>
        </w:rPr>
        <w:t>数据访问风控</w:t>
      </w:r>
    </w:p>
    <w:p>
      <w:pPr>
        <w:pStyle w:val="42"/>
        <w:rPr>
          <w:color w:val="000000" w:themeColor="text1"/>
          <w14:textFill>
            <w14:solidFill>
              <w14:schemeClr w14:val="tx1"/>
            </w14:solidFill>
          </w14:textFill>
        </w:rPr>
      </w:pPr>
      <w:r>
        <w:rPr>
          <w:rFonts w:hint="eastAsia"/>
          <w:color w:val="000000" w:themeColor="text1"/>
          <w14:textFill>
            <w14:solidFill>
              <w14:schemeClr w14:val="tx1"/>
            </w14:solidFill>
          </w14:textFill>
        </w:rPr>
        <w:t>数据访问风控技术</w:t>
      </w:r>
      <w:r>
        <w:rPr>
          <w:color w:val="000000" w:themeColor="text1"/>
          <w14:textFill>
            <w14:solidFill>
              <w14:schemeClr w14:val="tx1"/>
            </w14:solidFill>
          </w14:textFill>
        </w:rPr>
        <w:t>能力包括：</w:t>
      </w:r>
    </w:p>
    <w:p>
      <w:pPr>
        <w:pStyle w:val="42"/>
        <w:numPr>
          <w:ilvl w:val="0"/>
          <w:numId w:val="19"/>
        </w:numPr>
        <w:ind w:firstLineChars="0"/>
        <w:rPr>
          <w:color w:val="000000" w:themeColor="text1"/>
          <w14:textFill>
            <w14:solidFill>
              <w14:schemeClr w14:val="tx1"/>
            </w14:solidFill>
          </w14:textFill>
        </w:rPr>
      </w:pPr>
      <w:r>
        <w:rPr>
          <w:color w:val="000000" w:themeColor="text1"/>
          <w14:textFill>
            <w14:solidFill>
              <w14:schemeClr w14:val="tx1"/>
            </w14:solidFill>
          </w14:textFill>
        </w:rPr>
        <w:t>控制用户对</w:t>
      </w:r>
      <w:r>
        <w:rPr>
          <w:rFonts w:hint="eastAsia"/>
          <w:color w:val="000000" w:themeColor="text1"/>
          <w14:textFill>
            <w14:solidFill>
              <w14:schemeClr w14:val="tx1"/>
            </w14:solidFill>
          </w14:textFill>
        </w:rPr>
        <w:t>数据</w:t>
      </w:r>
      <w:r>
        <w:rPr>
          <w:color w:val="000000" w:themeColor="text1"/>
          <w14:textFill>
            <w14:solidFill>
              <w14:schemeClr w14:val="tx1"/>
            </w14:solidFill>
          </w14:textFill>
        </w:rPr>
        <w:t>资源的访问</w:t>
      </w:r>
      <w:r>
        <w:rPr>
          <w:rFonts w:hint="eastAsia"/>
          <w:color w:val="000000" w:themeColor="text1"/>
          <w14:textFill>
            <w14:solidFill>
              <w14:schemeClr w14:val="tx1"/>
            </w14:solidFill>
          </w14:textFill>
        </w:rPr>
        <w:t>；</w:t>
      </w:r>
    </w:p>
    <w:p>
      <w:pPr>
        <w:pStyle w:val="42"/>
        <w:numPr>
          <w:ilvl w:val="0"/>
          <w:numId w:val="19"/>
        </w:numPr>
        <w:ind w:firstLineChars="0"/>
        <w:rPr>
          <w:color w:val="000000" w:themeColor="text1"/>
          <w14:textFill>
            <w14:solidFill>
              <w14:schemeClr w14:val="tx1"/>
            </w14:solidFill>
          </w14:textFill>
        </w:rPr>
      </w:pPr>
      <w:r>
        <w:rPr>
          <w:rFonts w:hint="eastAsia"/>
          <w:color w:val="000000" w:themeColor="text1"/>
          <w14:textFill>
            <w14:solidFill>
              <w14:schemeClr w14:val="tx1"/>
            </w14:solidFill>
          </w14:textFill>
        </w:rPr>
        <w:t>接入</w:t>
      </w:r>
      <w:r>
        <w:rPr>
          <w:color w:val="000000" w:themeColor="text1"/>
          <w14:textFill>
            <w14:solidFill>
              <w14:schemeClr w14:val="tx1"/>
            </w14:solidFill>
          </w14:textFill>
        </w:rPr>
        <w:t>WAF</w:t>
      </w:r>
      <w:r>
        <w:rPr>
          <w:rFonts w:hint="eastAsia"/>
          <w:color w:val="000000" w:themeColor="text1"/>
          <w14:textFill>
            <w14:solidFill>
              <w14:schemeClr w14:val="tx1"/>
            </w14:solidFill>
          </w14:textFill>
        </w:rPr>
        <w:t>，保障数据安全；</w:t>
      </w:r>
    </w:p>
    <w:p>
      <w:pPr>
        <w:pStyle w:val="42"/>
        <w:numPr>
          <w:ilvl w:val="0"/>
          <w:numId w:val="19"/>
        </w:numPr>
        <w:ind w:firstLineChars="0"/>
        <w:rPr>
          <w:color w:val="000000" w:themeColor="text1"/>
          <w14:textFill>
            <w14:solidFill>
              <w14:schemeClr w14:val="tx1"/>
            </w14:solidFill>
          </w14:textFill>
        </w:rPr>
      </w:pPr>
      <w:r>
        <w:rPr>
          <w:rFonts w:hint="eastAsia"/>
          <w:color w:val="000000" w:themeColor="text1"/>
          <w14:textFill>
            <w14:solidFill>
              <w14:schemeClr w14:val="tx1"/>
            </w14:solidFill>
          </w14:textFill>
        </w:rPr>
        <w:t>根据数据属性、用户及行为，建立模型计算数据访问风险级别；</w:t>
      </w:r>
    </w:p>
    <w:p>
      <w:pPr>
        <w:pStyle w:val="42"/>
        <w:numPr>
          <w:ilvl w:val="0"/>
          <w:numId w:val="19"/>
        </w:numPr>
        <w:ind w:firstLineChars="0"/>
        <w:rPr>
          <w:color w:val="000000" w:themeColor="text1"/>
          <w14:textFill>
            <w14:solidFill>
              <w14:schemeClr w14:val="tx1"/>
            </w14:solidFill>
          </w14:textFill>
        </w:rPr>
      </w:pPr>
      <w:r>
        <w:rPr>
          <w:rFonts w:hint="eastAsia"/>
          <w:color w:val="000000" w:themeColor="text1"/>
          <w14:textFill>
            <w14:solidFill>
              <w14:schemeClr w14:val="tx1"/>
            </w14:solidFill>
          </w14:textFill>
        </w:rPr>
        <w:t>进行人机操作识别，拦截非法的数据访问请求。</w:t>
      </w:r>
    </w:p>
    <w:p>
      <w:pPr>
        <w:pStyle w:val="77"/>
        <w:spacing w:before="156" w:after="156"/>
        <w:ind w:left="0"/>
      </w:pPr>
      <w:r>
        <w:rPr>
          <w:rFonts w:hint="eastAsia"/>
        </w:rPr>
        <w:t>动态数据</w:t>
      </w:r>
      <w:r>
        <w:t>脱敏</w:t>
      </w:r>
    </w:p>
    <w:p>
      <w:pPr>
        <w:pStyle w:val="42"/>
        <w:rPr>
          <w:color w:val="000000" w:themeColor="text1"/>
          <w14:textFill>
            <w14:solidFill>
              <w14:schemeClr w14:val="tx1"/>
            </w14:solidFill>
          </w14:textFill>
        </w:rPr>
      </w:pPr>
      <w:r>
        <w:rPr>
          <w:rFonts w:hint="eastAsia" w:ascii=".PingFang SC" w:hAnsi=".PingFang SC"/>
          <w:color w:val="000000" w:themeColor="text1"/>
          <w:szCs w:val="21"/>
          <w14:textFill>
            <w14:solidFill>
              <w14:schemeClr w14:val="tx1"/>
            </w14:solidFill>
          </w14:textFill>
        </w:rPr>
        <w:t>对</w:t>
      </w:r>
      <w:r>
        <w:rPr>
          <w:rFonts w:ascii=".PingFang SC" w:hAnsi=".PingFang SC"/>
          <w:color w:val="000000" w:themeColor="text1"/>
          <w:szCs w:val="21"/>
          <w14:textFill>
            <w14:solidFill>
              <w14:schemeClr w14:val="tx1"/>
            </w14:solidFill>
          </w14:textFill>
        </w:rPr>
        <w:t>时效性要求很高的</w:t>
      </w:r>
      <w:r>
        <w:rPr>
          <w:rFonts w:hint="eastAsia" w:ascii=".PingFang SC" w:hAnsi=".PingFang SC"/>
          <w:color w:val="000000" w:themeColor="text1"/>
          <w:szCs w:val="21"/>
          <w14:textFill>
            <w14:solidFill>
              <w14:schemeClr w14:val="tx1"/>
            </w14:solidFill>
          </w14:textFill>
        </w:rPr>
        <w:t>请求进行</w:t>
      </w:r>
      <w:r>
        <w:rPr>
          <w:rFonts w:hint="eastAsia"/>
          <w:color w:val="000000" w:themeColor="text1"/>
          <w14:textFill>
            <w14:solidFill>
              <w14:schemeClr w14:val="tx1"/>
            </w14:solidFill>
          </w14:textFill>
        </w:rPr>
        <w:t>数据脱敏和日志脱敏，主要技术有：</w:t>
      </w:r>
    </w:p>
    <w:p>
      <w:pPr>
        <w:pStyle w:val="42"/>
        <w:rPr>
          <w:color w:val="000000" w:themeColor="text1"/>
          <w14:textFill>
            <w14:solidFill>
              <w14:schemeClr w14:val="tx1"/>
            </w14:solidFill>
          </w14:textFill>
        </w:rPr>
      </w:pPr>
      <w:r>
        <w:rPr>
          <w:color w:val="000000" w:themeColor="text1"/>
          <w14:textFill>
            <w14:solidFill>
              <w14:schemeClr w14:val="tx1"/>
            </w14:solidFill>
          </w14:textFill>
        </w:rPr>
        <w:t>a</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数据抽样</w:t>
      </w:r>
      <w:r>
        <w:rPr>
          <w:rFonts w:hint="eastAsia"/>
          <w:color w:val="000000" w:themeColor="text1"/>
          <w14:textFill>
            <w14:solidFill>
              <w14:schemeClr w14:val="tx1"/>
            </w14:solidFill>
          </w14:textFill>
        </w:rPr>
        <w:t>；</w:t>
      </w:r>
    </w:p>
    <w:p>
      <w:pPr>
        <w:pStyle w:val="42"/>
        <w:rPr>
          <w:color w:val="000000" w:themeColor="text1"/>
          <w14:textFill>
            <w14:solidFill>
              <w14:schemeClr w14:val="tx1"/>
            </w14:solidFill>
          </w14:textFill>
        </w:rPr>
      </w:pPr>
      <w:r>
        <w:rPr>
          <w:color w:val="000000" w:themeColor="text1"/>
          <w14:textFill>
            <w14:solidFill>
              <w14:schemeClr w14:val="tx1"/>
            </w14:solidFill>
          </w14:textFill>
        </w:rPr>
        <w:t>b</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字符子链屏蔽等模糊化处理；</w:t>
      </w:r>
    </w:p>
    <w:p>
      <w:pPr>
        <w:pStyle w:val="42"/>
        <w:rPr>
          <w:color w:val="000000" w:themeColor="text1"/>
          <w14:textFill>
            <w14:solidFill>
              <w14:schemeClr w14:val="tx1"/>
            </w14:solidFill>
          </w14:textFill>
        </w:rPr>
      </w:pPr>
      <w:r>
        <w:rPr>
          <w:color w:val="000000" w:themeColor="text1"/>
          <w14:textFill>
            <w14:solidFill>
              <w14:schemeClr w14:val="tx1"/>
            </w14:solidFill>
          </w14:textFill>
        </w:rPr>
        <w:t>c</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 xml:space="preserve"> 屏蔽</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局部抑制</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记录抑制</w:t>
      </w:r>
      <w:r>
        <w:rPr>
          <w:rFonts w:hint="eastAsia"/>
          <w:color w:val="000000" w:themeColor="text1"/>
          <w14:textFill>
            <w14:solidFill>
              <w14:schemeClr w14:val="tx1"/>
            </w14:solidFill>
          </w14:textFill>
        </w:rPr>
        <w:t>等</w:t>
      </w:r>
      <w:r>
        <w:rPr>
          <w:color w:val="000000" w:themeColor="text1"/>
          <w14:textFill>
            <w14:solidFill>
              <w14:schemeClr w14:val="tx1"/>
            </w14:solidFill>
          </w14:textFill>
        </w:rPr>
        <w:t>抑制技术</w:t>
      </w:r>
      <w:r>
        <w:rPr>
          <w:rFonts w:hint="eastAsia"/>
          <w:color w:val="000000" w:themeColor="text1"/>
          <w14:textFill>
            <w14:solidFill>
              <w14:schemeClr w14:val="tx1"/>
            </w14:solidFill>
          </w14:textFill>
        </w:rPr>
        <w:t>；</w:t>
      </w:r>
    </w:p>
    <w:p>
      <w:pPr>
        <w:pStyle w:val="42"/>
      </w:pPr>
      <w:r>
        <w:rPr>
          <w:rFonts w:hint="eastAsia"/>
          <w:color w:val="000000" w:themeColor="text1"/>
          <w14:textFill>
            <w14:solidFill>
              <w14:schemeClr w14:val="tx1"/>
            </w14:solidFill>
          </w14:textFill>
        </w:rPr>
        <w:t>d)</w:t>
      </w:r>
      <w:r>
        <w:rPr>
          <w:color w:val="000000" w:themeColor="text1"/>
          <w14:textFill>
            <w14:solidFill>
              <w14:schemeClr w14:val="tx1"/>
            </w14:solidFill>
          </w14:textFill>
        </w:rPr>
        <w:t xml:space="preserve"> 噪声添加</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置换</w:t>
      </w:r>
      <w:r>
        <w:rPr>
          <w:rFonts w:hint="eastAsia"/>
          <w:color w:val="000000" w:themeColor="text1"/>
          <w14:textFill>
            <w14:solidFill>
              <w14:schemeClr w14:val="tx1"/>
            </w14:solidFill>
          </w14:textFill>
        </w:rPr>
        <w:t>、</w:t>
      </w:r>
      <w:r>
        <w:rPr>
          <w:color w:val="000000" w:themeColor="text1"/>
          <w14:textFill>
            <w14:solidFill>
              <w14:schemeClr w14:val="tx1"/>
            </w14:solidFill>
          </w14:textFill>
        </w:rPr>
        <w:t>微聚集</w:t>
      </w:r>
      <w:r>
        <w:rPr>
          <w:rFonts w:hint="eastAsia"/>
          <w:color w:val="000000" w:themeColor="text1"/>
          <w14:textFill>
            <w14:solidFill>
              <w14:schemeClr w14:val="tx1"/>
            </w14:solidFill>
          </w14:textFill>
        </w:rPr>
        <w:t>等</w:t>
      </w:r>
      <w:r>
        <w:rPr>
          <w:color w:val="000000" w:themeColor="text1"/>
          <w14:textFill>
            <w14:solidFill>
              <w14:schemeClr w14:val="tx1"/>
            </w14:solidFill>
          </w14:textFill>
        </w:rPr>
        <w:t>随机化技术</w:t>
      </w:r>
      <w:r>
        <w:rPr>
          <w:rFonts w:hint="eastAsia"/>
          <w:color w:val="000000" w:themeColor="text1"/>
          <w14:textFill>
            <w14:solidFill>
              <w14:schemeClr w14:val="tx1"/>
            </w14:solidFill>
          </w14:textFill>
        </w:rPr>
        <w:t>。</w:t>
      </w:r>
    </w:p>
    <w:p>
      <w:pPr>
        <w:pStyle w:val="76"/>
        <w:spacing w:before="312" w:after="312"/>
      </w:pPr>
      <w:bookmarkStart w:id="171" w:name="_Toc53409595"/>
      <w:bookmarkEnd w:id="171"/>
      <w:bookmarkStart w:id="172" w:name="_Toc53409590"/>
      <w:bookmarkEnd w:id="172"/>
      <w:bookmarkStart w:id="173" w:name="_Toc53409592"/>
      <w:bookmarkEnd w:id="173"/>
      <w:bookmarkStart w:id="174" w:name="_Toc53409593"/>
      <w:bookmarkEnd w:id="174"/>
      <w:bookmarkStart w:id="175" w:name="_Toc53409588"/>
      <w:bookmarkEnd w:id="175"/>
      <w:bookmarkStart w:id="176" w:name="_Toc53409594"/>
      <w:bookmarkEnd w:id="176"/>
      <w:bookmarkStart w:id="177" w:name="_Toc53409591"/>
      <w:bookmarkEnd w:id="177"/>
      <w:bookmarkStart w:id="178" w:name="_Toc53409589"/>
      <w:bookmarkEnd w:id="178"/>
      <w:bookmarkStart w:id="179" w:name="_Toc38213621"/>
      <w:bookmarkStart w:id="180" w:name="_Toc53409596"/>
      <w:r>
        <w:rPr>
          <w:rFonts w:hint="eastAsia"/>
        </w:rPr>
        <w:t>可信体系建设的</w:t>
      </w:r>
      <w:bookmarkEnd w:id="179"/>
      <w:r>
        <w:rPr>
          <w:rFonts w:hint="eastAsia"/>
        </w:rPr>
        <w:t>基本要求</w:t>
      </w:r>
      <w:bookmarkEnd w:id="180"/>
    </w:p>
    <w:p>
      <w:pPr>
        <w:pStyle w:val="73"/>
        <w:spacing w:before="156" w:after="156"/>
      </w:pPr>
      <w:bookmarkStart w:id="181" w:name="_Toc53409597"/>
      <w:bookmarkStart w:id="182" w:name="_Toc38213622"/>
      <w:r>
        <w:rPr>
          <w:rFonts w:hint="eastAsia"/>
        </w:rPr>
        <w:t>多方数据价值挖掘区域运营者的可信性要求</w:t>
      </w:r>
      <w:bookmarkEnd w:id="181"/>
      <w:bookmarkEnd w:id="182"/>
    </w:p>
    <w:p>
      <w:pPr>
        <w:pStyle w:val="42"/>
      </w:pPr>
      <w:r>
        <w:rPr>
          <w:rFonts w:hint="eastAsia"/>
        </w:rPr>
        <w:t>多方数据价值挖掘区域运营者应当满足可信性的要求。可信性要求具体包括：</w:t>
      </w:r>
    </w:p>
    <w:p>
      <w:pPr>
        <w:pStyle w:val="90"/>
        <w:numPr>
          <w:ilvl w:val="0"/>
          <w:numId w:val="20"/>
        </w:numPr>
        <w:tabs>
          <w:tab w:val="left" w:pos="839"/>
        </w:tabs>
        <w:ind w:left="839" w:hanging="419"/>
        <w:rPr>
          <w:rFonts w:hAnsi="宋体" w:cstheme="minorBidi"/>
          <w:szCs w:val="22"/>
        </w:rPr>
      </w:pPr>
      <w:r>
        <w:rPr>
          <w:rFonts w:hint="eastAsia" w:hAnsi="宋体" w:cstheme="minorBidi"/>
          <w:szCs w:val="22"/>
        </w:rPr>
        <w:t>多方数据价值挖掘区域应由可信第三方运营、控制和管理。该可信第三方能够被为多方数据价值挖掘提供数据的网络运营者所信任，从技术和管理上可以防止任何为多方数据价值挖掘提供数据的网络运营者访问、导出挖掘区域中的数据。但符合本标准规定的数据价值输出除外。</w:t>
      </w:r>
    </w:p>
    <w:p>
      <w:pPr>
        <w:pStyle w:val="90"/>
        <w:numPr>
          <w:ilvl w:val="0"/>
          <w:numId w:val="20"/>
        </w:numPr>
        <w:tabs>
          <w:tab w:val="left" w:pos="839"/>
        </w:tabs>
        <w:ind w:left="839" w:hanging="419"/>
        <w:rPr>
          <w:rFonts w:hAnsi="宋体" w:cstheme="minorBidi"/>
          <w:szCs w:val="22"/>
        </w:rPr>
      </w:pPr>
      <w:r>
        <w:rPr>
          <w:rFonts w:hint="eastAsia" w:hAnsi="宋体" w:cstheme="minorBidi"/>
          <w:szCs w:val="22"/>
        </w:rPr>
        <w:t>多方数据价值挖掘区域运营者应与参与多方数据价值挖掘的网络运营者分别签署数据委托处理协议。除了基于数据委托处理协议约定，为多个网络运营者提供多方数据价值挖掘之外，挖掘区域运营者不从事其他任何业务，没有其他任何数据来源，既不会做出任何再识别去标识化数据的行为，也不会将挖掘区域内的数据及数据价值用于数据委托处理协议以外的目的。多方数据价值挖掘区域运营者应当根据本标准的要求定期接受可信性审计。</w:t>
      </w:r>
    </w:p>
    <w:p>
      <w:pPr>
        <w:pStyle w:val="90"/>
        <w:numPr>
          <w:ilvl w:val="0"/>
          <w:numId w:val="20"/>
        </w:numPr>
        <w:tabs>
          <w:tab w:val="left" w:pos="839"/>
        </w:tabs>
        <w:ind w:left="839" w:hanging="419"/>
        <w:rPr>
          <w:sz w:val="24"/>
          <w:szCs w:val="24"/>
        </w:rPr>
      </w:pPr>
      <w:r>
        <w:rPr>
          <w:rFonts w:hint="eastAsia" w:hAnsi="宋体" w:cstheme="minorBidi"/>
          <w:szCs w:val="22"/>
        </w:rPr>
        <w:t>多方数据价值挖掘区域运营者应当具备充分的数据安全能力，严格按照</w:t>
      </w:r>
      <w:r>
        <w:rPr>
          <w:rFonts w:ascii="Arial" w:hAnsi="Arial" w:cs="Arial"/>
          <w:color w:val="333333"/>
          <w:szCs w:val="21"/>
          <w:shd w:val="clear" w:color="auto" w:fill="FFFFFF"/>
        </w:rPr>
        <w:t>网络安全等级保护制度</w:t>
      </w:r>
      <w:r>
        <w:rPr>
          <w:rFonts w:hint="eastAsia" w:ascii="Arial" w:hAnsi="Arial" w:cs="Arial"/>
          <w:color w:val="333333"/>
          <w:szCs w:val="21"/>
          <w:shd w:val="clear" w:color="auto" w:fill="FFFFFF"/>
        </w:rPr>
        <w:t>等履行安全保护义务。</w:t>
      </w:r>
    </w:p>
    <w:p>
      <w:pPr>
        <w:pStyle w:val="73"/>
        <w:spacing w:before="156" w:after="156"/>
      </w:pPr>
      <w:bookmarkStart w:id="183" w:name="_Toc38213623"/>
      <w:bookmarkStart w:id="184" w:name="_Toc53409598"/>
      <w:r>
        <w:rPr>
          <w:rFonts w:hint="eastAsia"/>
        </w:rPr>
        <w:t>多方数据价值挖掘的申请流程</w:t>
      </w:r>
      <w:bookmarkEnd w:id="183"/>
      <w:bookmarkEnd w:id="184"/>
    </w:p>
    <w:p>
      <w:pPr>
        <w:pStyle w:val="42"/>
      </w:pPr>
      <w:r>
        <w:rPr>
          <w:rFonts w:hint="eastAsia"/>
        </w:rPr>
        <w:t>任何参与多方数据价值挖掘的网络运营者，应针对其每一个数据价值挖掘需求向挖掘区域运营者发起申请流程。申请中应当包含以下要素：各方参与挖掘的原始数据说明、去标识化情况、具体需求场景、挖掘持续周期、对本标准的遵守情况说明及承诺。挖掘区域运营者应当按照本标准要求核实申请后，方可同意进行多方数据价值挖掘。</w:t>
      </w:r>
    </w:p>
    <w:p>
      <w:pPr>
        <w:pStyle w:val="73"/>
        <w:spacing w:before="156" w:after="156"/>
      </w:pPr>
      <w:bookmarkStart w:id="185" w:name="_Toc38213624"/>
      <w:bookmarkStart w:id="186" w:name="_Toc53409599"/>
      <w:r>
        <w:rPr>
          <w:rFonts w:hint="eastAsia"/>
        </w:rPr>
        <w:t>可挖掘数据进入挖掘区域的可信要求</w:t>
      </w:r>
      <w:bookmarkEnd w:id="185"/>
      <w:bookmarkEnd w:id="186"/>
    </w:p>
    <w:p>
      <w:pPr>
        <w:pStyle w:val="42"/>
      </w:pPr>
      <w:r>
        <w:rPr>
          <w:rFonts w:hint="eastAsia"/>
        </w:rPr>
        <w:t>可挖掘数据在进入挖掘区域之前，参与多方数据价值挖掘的网络运营者应对原始数据进行清洗、加工、去标识化等预处理，尤其对其中的个人信息应当进行去标识化处理或采用隐私计算技术（可信执行环境、多方安全计算、同态加密、功能加密等）对可挖掘数据进行加密，以确保挖掘区域运营者无法重新识别或者关联个人信息主体，或者确保挖掘区域运营者无法将可挖掘数据用于价值挖掘以外的目的。针对进入挖掘区域的数据，挖掘区域应当具备相应的技术和管理能力，确保将不符合本标准4</w:t>
      </w:r>
      <w:r>
        <w:t>.4</w:t>
      </w:r>
      <w:r>
        <w:rPr>
          <w:rFonts w:hint="eastAsia"/>
        </w:rPr>
        <w:t>款规定的数据识别并拦截在挖掘区域之外。</w:t>
      </w:r>
    </w:p>
    <w:p>
      <w:pPr>
        <w:pStyle w:val="42"/>
        <w:ind w:firstLine="361"/>
        <w:rPr>
          <w:sz w:val="18"/>
          <w:szCs w:val="18"/>
        </w:rPr>
      </w:pPr>
      <w:r>
        <w:rPr>
          <w:rFonts w:hint="eastAsia"/>
          <w:b/>
          <w:bCs/>
          <w:sz w:val="18"/>
          <w:szCs w:val="18"/>
        </w:rPr>
        <w:t>注：</w:t>
      </w:r>
      <w:r>
        <w:rPr>
          <w:rFonts w:hint="eastAsia"/>
          <w:sz w:val="18"/>
          <w:szCs w:val="18"/>
        </w:rPr>
        <w:t>上述去标识化处理不影响挖掘区域运营者利用去标识化后新生成的唯一标识字段进行数据表的融合扩列，以确保多方数据价值可被进一步挖掘。</w:t>
      </w:r>
    </w:p>
    <w:p>
      <w:pPr>
        <w:pStyle w:val="73"/>
        <w:spacing w:before="156" w:after="156"/>
      </w:pPr>
      <w:bookmarkStart w:id="187" w:name="_Toc38213625"/>
      <w:bookmarkStart w:id="188" w:name="_Toc53409600"/>
      <w:r>
        <w:rPr>
          <w:rFonts w:hint="eastAsia"/>
        </w:rPr>
        <w:t>挖掘区域中的可信要求</w:t>
      </w:r>
      <w:bookmarkEnd w:id="187"/>
      <w:bookmarkEnd w:id="188"/>
    </w:p>
    <w:p>
      <w:pPr>
        <w:pStyle w:val="42"/>
      </w:pPr>
      <w:r>
        <w:rPr>
          <w:rFonts w:hint="eastAsia"/>
        </w:rPr>
        <w:t>挖掘区域中的可信要求</w:t>
      </w:r>
      <w:r>
        <w:t>包括数据流转管控、可信应用访问、数据访问风控、用户行为审计</w:t>
      </w:r>
      <w:r>
        <w:rPr>
          <w:rFonts w:hint="eastAsia"/>
        </w:rPr>
        <w:t>。</w:t>
      </w:r>
    </w:p>
    <w:p>
      <w:pPr>
        <w:pStyle w:val="90"/>
        <w:numPr>
          <w:ilvl w:val="0"/>
          <w:numId w:val="21"/>
        </w:numPr>
        <w:ind w:left="777" w:hanging="420"/>
        <w:rPr>
          <w:rFonts w:hAnsi="宋体" w:cstheme="minorBidi"/>
          <w:szCs w:val="22"/>
        </w:rPr>
      </w:pPr>
      <w:r>
        <w:rPr>
          <w:rFonts w:hint="eastAsia" w:hAnsi="宋体" w:cstheme="minorBidi"/>
          <w:szCs w:val="22"/>
        </w:rPr>
        <w:t xml:space="preserve">数据流转管控：挖掘区域应基于保护模式，保证数据只进不出，严格管控。 </w:t>
      </w:r>
    </w:p>
    <w:p>
      <w:pPr>
        <w:pStyle w:val="90"/>
        <w:numPr>
          <w:ilvl w:val="0"/>
          <w:numId w:val="21"/>
        </w:numPr>
        <w:ind w:left="777" w:hanging="420"/>
        <w:rPr>
          <w:rFonts w:hAnsi="宋体" w:cstheme="minorBidi"/>
          <w:szCs w:val="22"/>
        </w:rPr>
      </w:pPr>
      <w:r>
        <w:rPr>
          <w:rFonts w:hint="eastAsia" w:hAnsi="宋体" w:cstheme="minorBidi"/>
          <w:szCs w:val="22"/>
        </w:rPr>
        <w:t>可信应用访问：基于应用签名+用户签名双签名方式，做到应用未经挖掘区域认证不可访问数据。</w:t>
      </w:r>
    </w:p>
    <w:p>
      <w:pPr>
        <w:pStyle w:val="90"/>
        <w:numPr>
          <w:ilvl w:val="0"/>
          <w:numId w:val="21"/>
        </w:numPr>
        <w:ind w:left="777" w:hanging="420"/>
        <w:rPr>
          <w:rFonts w:hAnsi="宋体" w:cstheme="minorBidi"/>
          <w:szCs w:val="22"/>
        </w:rPr>
      </w:pPr>
      <w:r>
        <w:rPr>
          <w:rFonts w:hint="eastAsia" w:hAnsi="宋体" w:cstheme="minorBidi"/>
          <w:szCs w:val="22"/>
        </w:rPr>
        <w:t>数据访问风控：基于数据安全风控能力，进行实时风控识别，并可对风险进行实时的动态脱敏、阻断等处置。</w:t>
      </w:r>
    </w:p>
    <w:p>
      <w:pPr>
        <w:pStyle w:val="90"/>
        <w:numPr>
          <w:ilvl w:val="0"/>
          <w:numId w:val="21"/>
        </w:numPr>
        <w:ind w:left="777" w:hanging="420"/>
        <w:rPr>
          <w:rFonts w:hAnsi="宋体" w:cstheme="minorBidi"/>
          <w:szCs w:val="22"/>
        </w:rPr>
      </w:pPr>
      <w:r>
        <w:rPr>
          <w:rFonts w:hint="eastAsia" w:hAnsi="宋体" w:cstheme="minorBidi"/>
          <w:szCs w:val="22"/>
        </w:rPr>
        <w:t>用户行为审计：在挖掘区域中对全链路上的应用行为和数据访问行为进行日志采集，一旦发现数据安全风险，系统可自动发起审计，进行风险追溯和排查。</w:t>
      </w:r>
    </w:p>
    <w:p>
      <w:pPr>
        <w:pStyle w:val="73"/>
        <w:spacing w:before="156" w:after="156"/>
      </w:pPr>
      <w:bookmarkStart w:id="189" w:name="_Toc53409601"/>
      <w:bookmarkStart w:id="190" w:name="_Toc38213626"/>
      <w:r>
        <w:rPr>
          <w:rFonts w:hint="eastAsia"/>
        </w:rPr>
        <w:t>挖掘区域输出数据价值的可信要求</w:t>
      </w:r>
      <w:bookmarkEnd w:id="189"/>
      <w:bookmarkEnd w:id="190"/>
    </w:p>
    <w:p>
      <w:pPr>
        <w:pStyle w:val="42"/>
      </w:pPr>
      <w:r>
        <w:rPr>
          <w:rFonts w:hint="eastAsia"/>
        </w:rPr>
        <w:t>挖掘区域仅可输出经挖掘后的数据价值，不得直接输出任何未经聚合统计、模糊化、策略化或者混淆化处理的数据。挖掘区域输出的数据价值对于接收方而言不得构成个人信息，不得危害国家安全、公共利益，不得侵犯他人的合法权益。</w:t>
      </w:r>
    </w:p>
    <w:p>
      <w:pPr>
        <w:pStyle w:val="73"/>
        <w:spacing w:before="156" w:after="156"/>
      </w:pPr>
      <w:bookmarkStart w:id="191" w:name="_Toc38213627"/>
      <w:bookmarkStart w:id="192" w:name="_Toc53409602"/>
      <w:r>
        <w:rPr>
          <w:rFonts w:hint="eastAsia"/>
        </w:rPr>
        <w:t>数据价值使用的可信要求</w:t>
      </w:r>
      <w:bookmarkEnd w:id="191"/>
      <w:bookmarkEnd w:id="192"/>
    </w:p>
    <w:p>
      <w:pPr>
        <w:pStyle w:val="42"/>
      </w:pPr>
      <w:r>
        <w:rPr>
          <w:rFonts w:hint="eastAsia"/>
        </w:rPr>
        <w:t>经挖掘后产生的数据价值，仅可用于基于本标准</w:t>
      </w:r>
      <w:r>
        <w:t>5.2</w:t>
      </w:r>
      <w:r>
        <w:rPr>
          <w:rFonts w:hint="eastAsia"/>
        </w:rPr>
        <w:t>款申请流程中所声明的需求使用场景。参与多方数据价值挖掘并使用数据价值的网络运营者，应当接受针对数据价值使用的可信核查或审计。</w:t>
      </w:r>
    </w:p>
    <w:p>
      <w:pPr>
        <w:pStyle w:val="76"/>
        <w:spacing w:before="312" w:after="312"/>
      </w:pPr>
      <w:bookmarkStart w:id="193" w:name="_Toc53409603"/>
      <w:bookmarkStart w:id="194" w:name="_Toc38213628"/>
      <w:r>
        <w:rPr>
          <w:rFonts w:hint="eastAsia"/>
        </w:rPr>
        <w:t>可信体系保障的要求</w:t>
      </w:r>
      <w:bookmarkEnd w:id="193"/>
      <w:bookmarkEnd w:id="194"/>
    </w:p>
    <w:p>
      <w:pPr>
        <w:pStyle w:val="73"/>
        <w:spacing w:before="156" w:after="156"/>
      </w:pPr>
      <w:bookmarkStart w:id="195" w:name="_Toc38213629"/>
      <w:bookmarkStart w:id="196" w:name="_Toc53409604"/>
      <w:r>
        <w:rPr>
          <w:rFonts w:hint="eastAsia"/>
        </w:rPr>
        <w:t>组织人员保障</w:t>
      </w:r>
      <w:bookmarkEnd w:id="195"/>
      <w:bookmarkEnd w:id="196"/>
    </w:p>
    <w:p>
      <w:pPr>
        <w:pStyle w:val="42"/>
      </w:pPr>
      <w:r>
        <w:rPr>
          <w:rFonts w:hint="eastAsia"/>
        </w:rPr>
        <w:t>参与多方数据价值挖掘的网络运营者和挖掘区域运营者均应当配备专门人员负责多方数据价值挖掘的可信体系保障工作。</w:t>
      </w:r>
    </w:p>
    <w:p>
      <w:pPr>
        <w:pStyle w:val="90"/>
        <w:numPr>
          <w:ilvl w:val="0"/>
          <w:numId w:val="22"/>
        </w:numPr>
        <w:ind w:left="900" w:leftChars="200" w:hanging="420" w:hangingChars="200"/>
        <w:rPr>
          <w:rFonts w:hAnsi="宋体" w:cstheme="minorBidi"/>
          <w:szCs w:val="22"/>
        </w:rPr>
      </w:pPr>
      <w:r>
        <w:rPr>
          <w:rFonts w:hint="eastAsia" w:hAnsi="宋体" w:cstheme="minorBidi"/>
          <w:szCs w:val="22"/>
        </w:rPr>
        <w:t>应明确其法定代表人或主要负责人对多方数据价值挖掘体系的可信性负全面领导责任，包括为可信体系提供人力、财力、物力保障等；</w:t>
      </w:r>
    </w:p>
    <w:p>
      <w:pPr>
        <w:pStyle w:val="90"/>
        <w:numPr>
          <w:ilvl w:val="0"/>
          <w:numId w:val="22"/>
        </w:numPr>
        <w:ind w:left="900" w:leftChars="200" w:hanging="420" w:hangingChars="200"/>
        <w:rPr>
          <w:rFonts w:hAnsi="宋体" w:cstheme="minorBidi"/>
          <w:szCs w:val="22"/>
        </w:rPr>
      </w:pPr>
      <w:r>
        <w:rPr>
          <w:rFonts w:hint="eastAsia" w:hAnsi="宋体" w:cstheme="minorBidi"/>
          <w:szCs w:val="22"/>
        </w:rPr>
        <w:t>应任命可信体系负责人和可信体系工作机构，可信体系负责人应由具有相关管理工作经历和专业知识的人员担任，有关多方数据价值挖掘的重要决策直接向组织主要负责人报告工作；</w:t>
      </w:r>
    </w:p>
    <w:p>
      <w:pPr>
        <w:pStyle w:val="90"/>
        <w:numPr>
          <w:ilvl w:val="0"/>
          <w:numId w:val="22"/>
        </w:numPr>
        <w:ind w:left="900" w:leftChars="200" w:hanging="420" w:hangingChars="200"/>
        <w:rPr>
          <w:rFonts w:hAnsi="宋体" w:cstheme="minorBidi"/>
          <w:szCs w:val="22"/>
        </w:rPr>
      </w:pPr>
      <w:r>
        <w:rPr>
          <w:rFonts w:hint="eastAsia" w:hAnsi="宋体" w:cstheme="minorBidi"/>
          <w:szCs w:val="22"/>
        </w:rPr>
        <w:t>可信体系负责人和可信体系工作机构的职责应包括但不限于:</w:t>
      </w:r>
    </w:p>
    <w:p>
      <w:pPr>
        <w:pStyle w:val="42"/>
        <w:numPr>
          <w:ilvl w:val="1"/>
          <w:numId w:val="23"/>
        </w:numPr>
        <w:ind w:left="1094" w:hanging="255" w:firstLineChars="0"/>
      </w:pPr>
      <w:r>
        <w:rPr>
          <w:rFonts w:hint="eastAsia"/>
        </w:rPr>
        <w:t>全面统筹实施多方数据价值挖掘的可信体系工作，对多方数据价值挖掘的可信性负直接责任；</w:t>
      </w:r>
    </w:p>
    <w:p>
      <w:pPr>
        <w:pStyle w:val="42"/>
        <w:numPr>
          <w:ilvl w:val="1"/>
          <w:numId w:val="23"/>
        </w:numPr>
        <w:ind w:left="1094" w:hanging="255" w:firstLineChars="0"/>
      </w:pPr>
      <w:r>
        <w:rPr>
          <w:rFonts w:hint="eastAsia"/>
        </w:rPr>
        <w:t>组织制定多方数据价值挖掘的可信体系工作计划并督促落实；</w:t>
      </w:r>
    </w:p>
    <w:p>
      <w:pPr>
        <w:pStyle w:val="42"/>
        <w:numPr>
          <w:ilvl w:val="1"/>
          <w:numId w:val="23"/>
        </w:numPr>
        <w:ind w:left="1094" w:hanging="255" w:firstLineChars="0"/>
      </w:pPr>
      <w:r>
        <w:rPr>
          <w:rFonts w:hint="eastAsia"/>
        </w:rPr>
        <w:t>制定、签发、实施、定期更新多方数据价值挖掘可信体系相关政策和相关规程；</w:t>
      </w:r>
    </w:p>
    <w:p>
      <w:pPr>
        <w:pStyle w:val="42"/>
        <w:numPr>
          <w:ilvl w:val="1"/>
          <w:numId w:val="23"/>
        </w:numPr>
        <w:ind w:left="1094" w:hanging="255" w:firstLineChars="0"/>
      </w:pPr>
      <w:r>
        <w:rPr>
          <w:rFonts w:hint="eastAsia"/>
        </w:rPr>
        <w:t>建立、维护和更新组织已开展的多方数据价值挖掘活动记录和数据价值使用情况；</w:t>
      </w:r>
    </w:p>
    <w:p>
      <w:pPr>
        <w:pStyle w:val="42"/>
        <w:numPr>
          <w:ilvl w:val="1"/>
          <w:numId w:val="23"/>
        </w:numPr>
        <w:ind w:left="1094" w:hanging="255" w:firstLineChars="0"/>
      </w:pPr>
      <w:r>
        <w:rPr>
          <w:rFonts w:hint="eastAsia"/>
        </w:rPr>
        <w:t>开展多方数据价值挖掘的可信性评估，提出可信体系建设的对策建议，督促整改可信隐患；</w:t>
      </w:r>
    </w:p>
    <w:p>
      <w:pPr>
        <w:pStyle w:val="42"/>
        <w:numPr>
          <w:ilvl w:val="1"/>
          <w:numId w:val="23"/>
        </w:numPr>
        <w:ind w:left="1094" w:hanging="255" w:firstLineChars="0"/>
      </w:pPr>
      <w:r>
        <w:rPr>
          <w:rFonts w:hint="eastAsia"/>
        </w:rPr>
        <w:t>组织开展多方数据价值挖掘的可信体系培训；</w:t>
      </w:r>
    </w:p>
    <w:p>
      <w:pPr>
        <w:pStyle w:val="42"/>
        <w:numPr>
          <w:ilvl w:val="1"/>
          <w:numId w:val="23"/>
        </w:numPr>
        <w:ind w:left="1094" w:hanging="255" w:firstLineChars="0"/>
      </w:pPr>
      <w:r>
        <w:rPr>
          <w:rFonts w:hint="eastAsia"/>
        </w:rPr>
        <w:t>负责组织实施内部的可信性审计，定期邀请外部机构进行可信性审计；</w:t>
      </w:r>
    </w:p>
    <w:p>
      <w:pPr>
        <w:pStyle w:val="42"/>
        <w:numPr>
          <w:ilvl w:val="1"/>
          <w:numId w:val="23"/>
        </w:numPr>
        <w:ind w:left="1094" w:hanging="255" w:firstLineChars="0"/>
      </w:pPr>
      <w:r>
        <w:rPr>
          <w:rFonts w:hint="eastAsia"/>
        </w:rPr>
        <w:t>与监督、管理部门保持沟通，通报或报告多方数据价值挖掘的相关情况。</w:t>
      </w:r>
    </w:p>
    <w:p>
      <w:pPr>
        <w:pStyle w:val="90"/>
        <w:numPr>
          <w:ilvl w:val="0"/>
          <w:numId w:val="22"/>
        </w:numPr>
        <w:ind w:left="900" w:leftChars="200" w:hanging="420" w:hangingChars="200"/>
        <w:rPr>
          <w:rFonts w:hAnsi="宋体" w:cstheme="minorBidi"/>
          <w:szCs w:val="22"/>
        </w:rPr>
      </w:pPr>
      <w:r>
        <w:rPr>
          <w:rFonts w:hint="eastAsia" w:hAnsi="宋体" w:cstheme="minorBidi"/>
          <w:szCs w:val="22"/>
        </w:rPr>
        <w:t>应为可信体系负责人和可信体系工作机构提供必要的资源，保障其独立履行职责。</w:t>
      </w:r>
    </w:p>
    <w:p>
      <w:pPr>
        <w:pStyle w:val="73"/>
        <w:spacing w:before="156" w:after="156"/>
      </w:pPr>
      <w:bookmarkStart w:id="197" w:name="_Toc38213630"/>
      <w:bookmarkStart w:id="198" w:name="_Toc53409605"/>
      <w:r>
        <w:rPr>
          <w:rFonts w:hint="eastAsia"/>
        </w:rPr>
        <w:t>管理与培训要求</w:t>
      </w:r>
      <w:bookmarkEnd w:id="197"/>
      <w:bookmarkEnd w:id="198"/>
    </w:p>
    <w:p>
      <w:pPr>
        <w:pStyle w:val="42"/>
      </w:pPr>
      <w:r>
        <w:rPr>
          <w:rFonts w:hint="eastAsia"/>
        </w:rPr>
        <w:t>参与多方数据价值挖掘的网络运营者和挖掘区域运营者均应当做好相关管理与培训工作，具体要求为：</w:t>
      </w:r>
    </w:p>
    <w:p>
      <w:pPr>
        <w:pStyle w:val="90"/>
        <w:numPr>
          <w:ilvl w:val="0"/>
          <w:numId w:val="24"/>
        </w:numPr>
        <w:ind w:left="900" w:leftChars="200" w:hanging="420" w:hangingChars="200"/>
        <w:rPr>
          <w:rFonts w:hAnsi="宋体" w:cstheme="minorBidi"/>
          <w:szCs w:val="22"/>
        </w:rPr>
      </w:pPr>
      <w:r>
        <w:rPr>
          <w:rFonts w:hint="eastAsia" w:hAnsi="宋体" w:cstheme="minorBidi"/>
          <w:szCs w:val="22"/>
        </w:rPr>
        <w:t>应与从事多方数据价值挖掘岗位上的相关人员签署保密协议，对大量接触数据的人员进行背景审查，以了解其犯罪记录、诚信状况等；</w:t>
      </w:r>
    </w:p>
    <w:p>
      <w:pPr>
        <w:pStyle w:val="90"/>
        <w:numPr>
          <w:ilvl w:val="0"/>
          <w:numId w:val="24"/>
        </w:numPr>
        <w:ind w:left="900" w:leftChars="200" w:hanging="420" w:hangingChars="200"/>
        <w:rPr>
          <w:rFonts w:hAnsi="宋体" w:cstheme="minorBidi"/>
          <w:szCs w:val="22"/>
        </w:rPr>
      </w:pPr>
      <w:r>
        <w:rPr>
          <w:rFonts w:hint="eastAsia" w:hAnsi="宋体" w:cstheme="minorBidi"/>
          <w:szCs w:val="22"/>
        </w:rPr>
        <w:t>应明确内部涉及多方数据价值挖掘不同岗位的可信体系职责，建立惩戒处分机制；</w:t>
      </w:r>
    </w:p>
    <w:p>
      <w:pPr>
        <w:pStyle w:val="90"/>
        <w:numPr>
          <w:ilvl w:val="0"/>
          <w:numId w:val="24"/>
        </w:numPr>
        <w:ind w:left="900" w:leftChars="200" w:hanging="420" w:hangingChars="200"/>
        <w:rPr>
          <w:rFonts w:hAnsi="宋体" w:cstheme="minorBidi"/>
          <w:szCs w:val="22"/>
        </w:rPr>
      </w:pPr>
      <w:r>
        <w:rPr>
          <w:rFonts w:hint="eastAsia" w:hAnsi="宋体" w:cstheme="minorBidi"/>
          <w:szCs w:val="22"/>
        </w:rPr>
        <w:t>应要求多方数据价值挖掘岗位上的相关人员在调离岗位或终止劳动合同时，继续履行保密义务；</w:t>
      </w:r>
    </w:p>
    <w:p>
      <w:pPr>
        <w:pStyle w:val="90"/>
        <w:numPr>
          <w:ilvl w:val="0"/>
          <w:numId w:val="24"/>
        </w:numPr>
        <w:ind w:left="900" w:leftChars="200" w:hanging="420" w:hangingChars="200"/>
        <w:rPr>
          <w:rFonts w:hAnsi="宋体" w:cstheme="minorBidi"/>
          <w:szCs w:val="22"/>
        </w:rPr>
      </w:pPr>
      <w:r>
        <w:rPr>
          <w:rFonts w:hint="eastAsia" w:hAnsi="宋体" w:cstheme="minorBidi"/>
          <w:szCs w:val="22"/>
        </w:rPr>
        <w:t>应定期(至少每年一次)对多方数据价值挖掘岗位上的相关人员开展专业化培训和考核。</w:t>
      </w:r>
    </w:p>
    <w:p>
      <w:pPr>
        <w:pStyle w:val="73"/>
        <w:spacing w:before="156" w:after="156"/>
      </w:pPr>
      <w:bookmarkStart w:id="199" w:name="_Toc38213631"/>
      <w:bookmarkStart w:id="200" w:name="_Toc53409606"/>
      <w:r>
        <w:rPr>
          <w:rFonts w:hint="eastAsia"/>
        </w:rPr>
        <w:t>多方数据价值挖掘活动记录</w:t>
      </w:r>
      <w:bookmarkEnd w:id="199"/>
      <w:bookmarkEnd w:id="200"/>
    </w:p>
    <w:p>
      <w:pPr>
        <w:pStyle w:val="42"/>
      </w:pPr>
      <w:r>
        <w:rPr>
          <w:rFonts w:hint="eastAsia"/>
        </w:rPr>
        <w:t>参与多方数据价值挖掘的网络运营者和挖掘区域运营者应建立、维护和更新多方数据价值挖掘活动记录，记录的内容可包括:</w:t>
      </w:r>
    </w:p>
    <w:p>
      <w:pPr>
        <w:pStyle w:val="90"/>
        <w:numPr>
          <w:ilvl w:val="0"/>
          <w:numId w:val="25"/>
        </w:numPr>
        <w:ind w:left="900" w:leftChars="200" w:hanging="420" w:hangingChars="200"/>
        <w:rPr>
          <w:rFonts w:hAnsi="宋体" w:cstheme="minorBidi"/>
          <w:szCs w:val="22"/>
        </w:rPr>
      </w:pPr>
      <w:r>
        <w:rPr>
          <w:rFonts w:hint="eastAsia" w:hAnsi="宋体" w:cstheme="minorBidi"/>
          <w:szCs w:val="22"/>
        </w:rPr>
        <w:t>根据本标准5</w:t>
      </w:r>
      <w:r>
        <w:rPr>
          <w:rFonts w:hAnsi="宋体" w:cstheme="minorBidi"/>
          <w:szCs w:val="22"/>
        </w:rPr>
        <w:t>.2</w:t>
      </w:r>
      <w:r>
        <w:rPr>
          <w:rFonts w:hint="eastAsia" w:hAnsi="宋体" w:cstheme="minorBidi"/>
          <w:szCs w:val="22"/>
        </w:rPr>
        <w:t>款提出的多方数据价值挖掘申请的具体内容；</w:t>
      </w:r>
    </w:p>
    <w:p>
      <w:pPr>
        <w:pStyle w:val="90"/>
        <w:numPr>
          <w:ilvl w:val="0"/>
          <w:numId w:val="25"/>
        </w:numPr>
        <w:ind w:left="900" w:leftChars="200" w:hanging="420" w:hangingChars="200"/>
        <w:rPr>
          <w:rFonts w:hAnsi="宋体" w:cstheme="minorBidi"/>
          <w:szCs w:val="22"/>
        </w:rPr>
      </w:pPr>
      <w:r>
        <w:rPr>
          <w:rFonts w:hint="eastAsia" w:hAnsi="宋体" w:cstheme="minorBidi"/>
          <w:szCs w:val="22"/>
        </w:rPr>
        <w:t>输出的数据价值使用情况；</w:t>
      </w:r>
    </w:p>
    <w:p>
      <w:pPr>
        <w:pStyle w:val="90"/>
        <w:numPr>
          <w:ilvl w:val="0"/>
          <w:numId w:val="25"/>
        </w:numPr>
        <w:ind w:left="900" w:leftChars="200" w:hanging="420" w:hangingChars="200"/>
        <w:rPr>
          <w:rFonts w:hAnsi="宋体" w:cstheme="minorBidi"/>
          <w:szCs w:val="22"/>
        </w:rPr>
      </w:pPr>
      <w:r>
        <w:rPr>
          <w:rFonts w:hint="eastAsia" w:hAnsi="宋体" w:cstheme="minorBidi"/>
          <w:szCs w:val="22"/>
        </w:rPr>
        <w:t>与多方数据价值挖掘活动各环节相关的信息系统、组织或人员。</w:t>
      </w:r>
    </w:p>
    <w:p>
      <w:pPr>
        <w:pStyle w:val="73"/>
        <w:spacing w:before="156" w:after="156"/>
      </w:pPr>
      <w:bookmarkStart w:id="201" w:name="_Toc38213632"/>
      <w:bookmarkStart w:id="202" w:name="_Toc53409607"/>
      <w:r>
        <w:rPr>
          <w:rFonts w:hint="eastAsia"/>
        </w:rPr>
        <w:t>可信体系审计</w:t>
      </w:r>
      <w:bookmarkEnd w:id="201"/>
      <w:bookmarkEnd w:id="202"/>
    </w:p>
    <w:p>
      <w:pPr>
        <w:pStyle w:val="42"/>
      </w:pPr>
      <w:r>
        <w:rPr>
          <w:rFonts w:hint="eastAsia"/>
        </w:rPr>
        <w:t>对参与多方数据价值挖掘的网络运营者和挖掘区域运营者的要求包括：</w:t>
      </w:r>
    </w:p>
    <w:p>
      <w:pPr>
        <w:pStyle w:val="90"/>
        <w:numPr>
          <w:ilvl w:val="0"/>
          <w:numId w:val="26"/>
        </w:numPr>
        <w:ind w:left="900" w:leftChars="200" w:hanging="420" w:hangingChars="200"/>
        <w:rPr>
          <w:rFonts w:hAnsi="宋体" w:cstheme="minorBidi"/>
          <w:szCs w:val="22"/>
        </w:rPr>
      </w:pPr>
      <w:r>
        <w:rPr>
          <w:rFonts w:hint="eastAsia" w:hAnsi="宋体" w:cstheme="minorBidi"/>
          <w:szCs w:val="22"/>
        </w:rPr>
        <w:t>应对多方数据价值挖掘的可信体系有效性，依据本标准的要求进行定期（至少每年一次）内部和外部审计；</w:t>
      </w:r>
    </w:p>
    <w:p>
      <w:pPr>
        <w:pStyle w:val="90"/>
        <w:numPr>
          <w:ilvl w:val="0"/>
          <w:numId w:val="26"/>
        </w:numPr>
        <w:ind w:left="900" w:leftChars="200" w:hanging="420" w:hangingChars="200"/>
        <w:rPr>
          <w:rFonts w:hAnsi="宋体" w:cstheme="minorBidi"/>
          <w:szCs w:val="22"/>
        </w:rPr>
      </w:pPr>
      <w:r>
        <w:rPr>
          <w:rFonts w:hint="eastAsia" w:hAnsi="宋体" w:cstheme="minorBidi"/>
          <w:szCs w:val="22"/>
        </w:rPr>
        <w:t>应建立自动化审计系统，监测记录多方数据价值挖掘活动；</w:t>
      </w:r>
    </w:p>
    <w:p>
      <w:pPr>
        <w:pStyle w:val="90"/>
        <w:numPr>
          <w:ilvl w:val="0"/>
          <w:numId w:val="26"/>
        </w:numPr>
        <w:ind w:left="900" w:leftChars="200" w:hanging="420" w:hangingChars="200"/>
        <w:rPr>
          <w:rFonts w:hAnsi="宋体" w:cstheme="minorBidi"/>
          <w:szCs w:val="22"/>
        </w:rPr>
      </w:pPr>
      <w:r>
        <w:rPr>
          <w:rFonts w:hint="eastAsia" w:hAnsi="宋体" w:cstheme="minorBidi"/>
          <w:szCs w:val="22"/>
        </w:rPr>
        <w:t>审计过程形成的记录应能对威胁可信性事件的处置、应急响应和事后调查提供支撑；</w:t>
      </w:r>
    </w:p>
    <w:p>
      <w:pPr>
        <w:pStyle w:val="90"/>
        <w:numPr>
          <w:ilvl w:val="0"/>
          <w:numId w:val="26"/>
        </w:numPr>
        <w:ind w:left="900" w:leftChars="200" w:hanging="420" w:hangingChars="200"/>
        <w:rPr>
          <w:rFonts w:hAnsi="宋体" w:cstheme="minorBidi"/>
          <w:szCs w:val="22"/>
        </w:rPr>
      </w:pPr>
      <w:r>
        <w:rPr>
          <w:rFonts w:hint="eastAsia" w:hAnsi="宋体" w:cstheme="minorBidi"/>
          <w:szCs w:val="22"/>
        </w:rPr>
        <w:t>应防止非授权访问、篡改或删除审计记录；</w:t>
      </w:r>
    </w:p>
    <w:p>
      <w:pPr>
        <w:pStyle w:val="90"/>
        <w:numPr>
          <w:ilvl w:val="0"/>
          <w:numId w:val="26"/>
        </w:numPr>
        <w:ind w:left="900" w:leftChars="200" w:hanging="420" w:hangingChars="200"/>
        <w:rPr>
          <w:rFonts w:hAnsi="宋体" w:cstheme="minorBidi"/>
          <w:szCs w:val="22"/>
        </w:rPr>
      </w:pPr>
      <w:r>
        <w:rPr>
          <w:rFonts w:hint="eastAsia" w:hAnsi="宋体" w:cstheme="minorBidi"/>
          <w:szCs w:val="22"/>
        </w:rPr>
        <w:t>应及时处理审计过程中发现的违反本标准规定的情况；</w:t>
      </w:r>
    </w:p>
    <w:p>
      <w:pPr>
        <w:pStyle w:val="90"/>
        <w:numPr>
          <w:ilvl w:val="0"/>
          <w:numId w:val="26"/>
        </w:numPr>
        <w:ind w:left="900" w:leftChars="200" w:hanging="420" w:hangingChars="200"/>
        <w:rPr>
          <w:rFonts w:hAnsi="宋体" w:cstheme="minorBidi"/>
          <w:szCs w:val="22"/>
        </w:rPr>
      </w:pPr>
      <w:r>
        <w:rPr>
          <w:rFonts w:hint="eastAsia" w:hAnsi="宋体" w:cstheme="minorBidi"/>
          <w:szCs w:val="22"/>
        </w:rPr>
        <w:t>审计记录和留存时间应符合法律法规的要求。</w:t>
      </w:r>
    </w:p>
    <w:p>
      <w:pPr>
        <w:pStyle w:val="42"/>
      </w:pPr>
    </w:p>
    <w:p>
      <w:pPr>
        <w:rPr>
          <w:rFonts w:ascii="黑体" w:eastAsia="黑体"/>
          <w:szCs w:val="20"/>
        </w:rPr>
      </w:pPr>
    </w:p>
    <w:p>
      <w:pPr>
        <w:pStyle w:val="157"/>
        <w:framePr w:hAnchor="page" w:x="4345" w:y="101"/>
      </w:pPr>
      <w:r>
        <w:t>_________________________________</w:t>
      </w:r>
    </w:p>
    <w:p>
      <w:pPr>
        <w:pStyle w:val="42"/>
        <w:ind w:firstLine="0" w:firstLineChars="0"/>
      </w:pPr>
    </w:p>
    <w:sectPr>
      <w:headerReference r:id="rId10" w:type="default"/>
      <w:footerReference r:id="rId11" w:type="default"/>
      <w:footerReference r:id="rId12" w:type="even"/>
      <w:pgSz w:w="11906" w:h="16838"/>
      <w:pgMar w:top="1499" w:right="1134" w:bottom="1134" w:left="1417" w:header="1551" w:footer="1134" w:gutter="0"/>
      <w:pgNumType w:start="1"/>
      <w:cols w:space="425"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IOAPJP+TimesNewRoman">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Courier New">
    <w:panose1 w:val="02070309020205020404"/>
    <w:charset w:val="00"/>
    <w:family w:val="modern"/>
    <w:pitch w:val="default"/>
    <w:sig w:usb0="E0002EFF" w:usb1="C0007843" w:usb2="00000009" w:usb3="00000000" w:csb0="400001FF" w:csb1="FFFF0000"/>
  </w:font>
  <w:font w:name="Cambria">
    <w:panose1 w:val="02040503050406030204"/>
    <w:charset w:val="00"/>
    <w:family w:val="roman"/>
    <w:pitch w:val="default"/>
    <w:sig w:usb0="E00006FF" w:usb1="420024FF" w:usb2="02000000" w:usb3="00000000" w:csb0="2000019F" w:csb1="00000000"/>
  </w:font>
  <w:font w:name="Sim Sun">
    <w:altName w:val="宋体"/>
    <w:panose1 w:val="00000000000000000000"/>
    <w:charset w:val="86"/>
    <w:family w:val="auto"/>
    <w:pitch w:val="default"/>
    <w:sig w:usb0="00000000" w:usb1="00000000" w:usb2="00000016" w:usb3="00000000" w:csb0="00040001"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IOBAEE+TimesNewRoman,Bold">
    <w:altName w:val="宋体"/>
    <w:panose1 w:val="00000000000000000000"/>
    <w:charset w:val="86"/>
    <w:family w:val="auto"/>
    <w:pitch w:val="default"/>
    <w:sig w:usb0="00000000" w:usb1="00000000" w:usb2="00000010" w:usb3="00000000" w:csb0="00040000" w:csb1="00000000"/>
  </w:font>
  <w:font w:name="Heiti SC Light">
    <w:altName w:val="Malgun Gothic Semilight"/>
    <w:panose1 w:val="00000000000000000000"/>
    <w:charset w:val="80"/>
    <w:family w:val="auto"/>
    <w:pitch w:val="default"/>
    <w:sig w:usb0="00000000" w:usb1="00000000" w:usb2="00000010" w:usb3="00000000" w:csb0="003E0001" w:csb1="00000000"/>
  </w:font>
  <w:font w:name="华文仿宋">
    <w:altName w:val="仿宋"/>
    <w:panose1 w:val="02010600040101010101"/>
    <w:charset w:val="86"/>
    <w:family w:val="auto"/>
    <w:pitch w:val="default"/>
    <w:sig w:usb0="00000000" w:usb1="00000000" w:usb2="00000010" w:usb3="00000000" w:csb0="0004009F" w:csb1="00000000"/>
  </w:font>
  <w:font w:name=".PingFang SC">
    <w:altName w:val="微软雅黑"/>
    <w:panose1 w:val="00000000000000000000"/>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Malgun Gothic Semilight">
    <w:panose1 w:val="020B0502040204020203"/>
    <w:charset w:val="86"/>
    <w:family w:val="auto"/>
    <w:pitch w:val="default"/>
    <w:sig w:usb0="900002AF" w:usb1="01D77CFB" w:usb2="00000012" w:usb3="00000000" w:csb0="203E01BD" w:csb1="D7FF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ind w:right="2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9"/>
    </w:pPr>
    <w:r>
      <w:fldChar w:fldCharType="begin"/>
    </w:r>
    <w:r>
      <w:instrText xml:space="preserve"> PAGE  \* MERGEFORMAT </w:instrText>
    </w:r>
    <w:r>
      <w:fldChar w:fldCharType="separate"/>
    </w:r>
    <w:r>
      <w:t>II</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ind w:right="24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4"/>
    </w:pPr>
    <w:r>
      <w:rPr>
        <w:rStyle w:val="61"/>
      </w:rPr>
      <w:fldChar w:fldCharType="begin"/>
    </w:r>
    <w:r>
      <w:rPr>
        <w:rStyle w:val="61"/>
      </w:rPr>
      <w:instrText xml:space="preserve"> PAGE </w:instrText>
    </w:r>
    <w:r>
      <w:rPr>
        <w:rStyle w:val="61"/>
      </w:rPr>
      <w:fldChar w:fldCharType="separate"/>
    </w:r>
    <w:r>
      <w:rPr>
        <w:rStyle w:val="61"/>
      </w:rPr>
      <w:t>III</w:t>
    </w:r>
    <w:r>
      <w:rPr>
        <w:rStyle w:val="6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9"/>
      <w:jc w:val="right"/>
    </w:pPr>
    <w:r>
      <w:fldChar w:fldCharType="begin"/>
    </w:r>
    <w:r>
      <w:instrText xml:space="preserve"> PAGE  \* MERGEFORMAT </w:instrText>
    </w:r>
    <w:r>
      <w:fldChar w:fldCharType="separate"/>
    </w:r>
    <w:r>
      <w:t>II</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4"/>
    </w:pPr>
    <w:r>
      <w:rPr>
        <w:rStyle w:val="61"/>
      </w:rPr>
      <w:fldChar w:fldCharType="begin"/>
    </w:r>
    <w:r>
      <w:rPr>
        <w:rStyle w:val="61"/>
      </w:rPr>
      <w:instrText xml:space="preserve"> PAGE </w:instrText>
    </w:r>
    <w:r>
      <w:rPr>
        <w:rStyle w:val="61"/>
      </w:rPr>
      <w:fldChar w:fldCharType="separate"/>
    </w:r>
    <w:r>
      <w:rPr>
        <w:rStyle w:val="61"/>
      </w:rPr>
      <w:t>7</w:t>
    </w:r>
    <w:r>
      <w:rPr>
        <w:rStyle w:val="61"/>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9"/>
    </w:pPr>
    <w:r>
      <w:fldChar w:fldCharType="begin"/>
    </w:r>
    <w:r>
      <w:instrText xml:space="preserve"> PAGE  \* MERGEFORMAT </w:instrText>
    </w:r>
    <w:r>
      <w:fldChar w:fldCharType="separate"/>
    </w:r>
    <w:r>
      <w:t>6</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jc w:val="left"/>
    </w:pPr>
    <w:r>
      <w:rPr>
        <w:rFonts w:hint="eastAsia"/>
      </w:rPr>
      <w:t>T/ISC</w:t>
    </w:r>
    <w:r>
      <w:t xml:space="preserve"> 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Pr>
    <w:r>
      <w:rPr>
        <w:rFonts w:hint="eastAsia"/>
      </w:rPr>
      <w:t>T/ISC</w:t>
    </w:r>
    <w:r>
      <w:t xml:space="preserve"> XXXX—XXXX</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5"/>
    </w:pPr>
    <w:r>
      <w:rPr>
        <w:rFonts w:hint="eastAsia"/>
      </w:rPr>
      <w:t>T/ISC</w:t>
    </w:r>
    <w:r>
      <w:t xml:space="preserve"> XXXX—XXXX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A15CD"/>
    <w:multiLevelType w:val="multilevel"/>
    <w:tmpl w:val="040A15CD"/>
    <w:lvl w:ilvl="0" w:tentative="0">
      <w:start w:val="1"/>
      <w:numFmt w:val="none"/>
      <w:suff w:val="nothing"/>
      <w:lvlText w:val="　"/>
      <w:lvlJc w:val="left"/>
      <w:pPr>
        <w:ind w:left="0" w:firstLine="0"/>
      </w:pPr>
      <w:rPr>
        <w:rFonts w:hint="eastAsia" w:ascii="黑体" w:hAnsi="Times New Roman" w:eastAsia="黑体"/>
        <w:b w:val="0"/>
        <w:i w:val="0"/>
        <w:sz w:val="21"/>
      </w:rPr>
    </w:lvl>
    <w:lvl w:ilvl="1" w:tentative="0">
      <w:start w:val="1"/>
      <w:numFmt w:val="decimal"/>
      <w:isLgl/>
      <w:suff w:val="nothing"/>
      <w:lvlText w:val="%2　"/>
      <w:lvlJc w:val="left"/>
      <w:pPr>
        <w:ind w:left="0" w:firstLine="0"/>
      </w:pPr>
      <w:rPr>
        <w:rFonts w:hint="eastAsia" w:ascii="黑体" w:hAnsi="Times New Roman" w:eastAsia="黑体"/>
        <w:b w:val="0"/>
        <w:i w:val="0"/>
        <w:spacing w:val="0"/>
        <w:w w:val="100"/>
        <w:kern w:val="21"/>
        <w:sz w:val="21"/>
      </w:rPr>
    </w:lvl>
    <w:lvl w:ilvl="2" w:tentative="0">
      <w:start w:val="1"/>
      <w:numFmt w:val="decimal"/>
      <w:pStyle w:val="176"/>
      <w:suff w:val="nothing"/>
      <w:lvlText w:val="%1%2.%3　"/>
      <w:lvlJc w:val="left"/>
      <w:pPr>
        <w:ind w:left="0" w:firstLine="0"/>
      </w:pPr>
      <w:rPr>
        <w:rFonts w:hint="eastAsia" w:ascii="黑体" w:hAnsi="Times New Roman" w:eastAsia="黑体"/>
        <w:b w:val="0"/>
        <w:i w:val="0"/>
        <w:sz w:val="21"/>
      </w:rPr>
    </w:lvl>
    <w:lvl w:ilvl="3" w:tentative="0">
      <w:start w:val="1"/>
      <w:numFmt w:val="decimal"/>
      <w:pStyle w:val="172"/>
      <w:suff w:val="nothing"/>
      <w:lvlText w:val="%1%2.%3.%4　"/>
      <w:lvlJc w:val="left"/>
      <w:pPr>
        <w:ind w:left="0" w:firstLine="0"/>
      </w:pPr>
      <w:rPr>
        <w:rFonts w:hint="eastAsia" w:ascii="黑体" w:hAnsi="Times New Roman" w:eastAsia="黑体"/>
        <w:b w:val="0"/>
        <w:i w:val="0"/>
        <w:sz w:val="21"/>
      </w:rPr>
    </w:lvl>
    <w:lvl w:ilvl="4" w:tentative="0">
      <w:start w:val="1"/>
      <w:numFmt w:val="decimal"/>
      <w:pStyle w:val="173"/>
      <w:suff w:val="nothing"/>
      <w:lvlText w:val="%1%2.%3.%4.%5　"/>
      <w:lvlJc w:val="left"/>
      <w:pPr>
        <w:ind w:left="0" w:firstLine="0"/>
      </w:pPr>
      <w:rPr>
        <w:rFonts w:hint="eastAsia" w:ascii="黑体" w:hAnsi="Times New Roman" w:eastAsia="黑体"/>
        <w:b w:val="0"/>
        <w:i w:val="0"/>
        <w:sz w:val="21"/>
      </w:rPr>
    </w:lvl>
    <w:lvl w:ilvl="5" w:tentative="0">
      <w:start w:val="1"/>
      <w:numFmt w:val="decimal"/>
      <w:pStyle w:val="174"/>
      <w:suff w:val="nothing"/>
      <w:lvlText w:val="%1%2.%3.%4.%5.%6　"/>
      <w:lvlJc w:val="left"/>
      <w:pPr>
        <w:ind w:left="0" w:firstLine="0"/>
      </w:pPr>
      <w:rPr>
        <w:rFonts w:hint="eastAsia" w:ascii="黑体" w:hAnsi="Times New Roman" w:eastAsia="黑体"/>
        <w:b w:val="0"/>
        <w:i w:val="0"/>
        <w:sz w:val="21"/>
      </w:rPr>
    </w:lvl>
    <w:lvl w:ilvl="6" w:tentative="0">
      <w:start w:val="1"/>
      <w:numFmt w:val="decimal"/>
      <w:pStyle w:val="175"/>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055A75CD"/>
    <w:multiLevelType w:val="multilevel"/>
    <w:tmpl w:val="055A75CD"/>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pStyle w:val="207"/>
      <w:lvlText w:val="6.6.2.%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AA4763C"/>
    <w:multiLevelType w:val="multilevel"/>
    <w:tmpl w:val="0AA4763C"/>
    <w:lvl w:ilvl="0" w:tentative="0">
      <w:start w:val="1"/>
      <w:numFmt w:val="lowerLetter"/>
      <w:lvlText w:val="%1）"/>
      <w:lvlJc w:val="left"/>
      <w:pPr>
        <w:ind w:left="360" w:firstLine="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B9C6D99"/>
    <w:multiLevelType w:val="multilevel"/>
    <w:tmpl w:val="1B9C6D99"/>
    <w:lvl w:ilvl="0" w:tentative="0">
      <w:start w:val="1"/>
      <w:numFmt w:val="lowerLetter"/>
      <w:lvlText w:val="%1）"/>
      <w:lvlJc w:val="left"/>
      <w:pPr>
        <w:ind w:left="360" w:firstLine="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DBF583A"/>
    <w:multiLevelType w:val="multilevel"/>
    <w:tmpl w:val="1DBF583A"/>
    <w:lvl w:ilvl="0" w:tentative="0">
      <w:start w:val="1"/>
      <w:numFmt w:val="decimal"/>
      <w:pStyle w:val="96"/>
      <w:suff w:val="nothing"/>
      <w:lvlText w:val="注%1："/>
      <w:lvlJc w:val="left"/>
      <w:pPr>
        <w:ind w:left="811" w:hanging="448"/>
      </w:pPr>
      <w:rPr>
        <w:rFonts w:hint="eastAsia" w:ascii="黑体" w:eastAsia="黑体"/>
        <w:b w:val="0"/>
        <w:i w:val="0"/>
        <w:sz w:val="18"/>
        <w:szCs w:val="18"/>
      </w:rPr>
    </w:lvl>
    <w:lvl w:ilvl="1" w:tentative="0">
      <w:start w:val="1"/>
      <w:numFmt w:val="lowerLetter"/>
      <w:lvlText w:val="%2)"/>
      <w:lvlJc w:val="left"/>
      <w:pPr>
        <w:tabs>
          <w:tab w:val="left" w:pos="180"/>
        </w:tabs>
        <w:ind w:left="1172" w:hanging="629"/>
      </w:pPr>
      <w:rPr>
        <w:rFonts w:hint="eastAsia"/>
      </w:rPr>
    </w:lvl>
    <w:lvl w:ilvl="2" w:tentative="0">
      <w:start w:val="1"/>
      <w:numFmt w:val="lowerRoman"/>
      <w:lvlText w:val="%3."/>
      <w:lvlJc w:val="right"/>
      <w:pPr>
        <w:tabs>
          <w:tab w:val="left" w:pos="180"/>
        </w:tabs>
        <w:ind w:left="1172" w:hanging="629"/>
      </w:pPr>
      <w:rPr>
        <w:rFonts w:hint="eastAsia"/>
      </w:rPr>
    </w:lvl>
    <w:lvl w:ilvl="3" w:tentative="0">
      <w:start w:val="1"/>
      <w:numFmt w:val="decimal"/>
      <w:lvlText w:val="%4."/>
      <w:lvlJc w:val="left"/>
      <w:pPr>
        <w:tabs>
          <w:tab w:val="left" w:pos="180"/>
        </w:tabs>
        <w:ind w:left="1172" w:hanging="629"/>
      </w:pPr>
      <w:rPr>
        <w:rFonts w:hint="eastAsia"/>
      </w:rPr>
    </w:lvl>
    <w:lvl w:ilvl="4" w:tentative="0">
      <w:start w:val="1"/>
      <w:numFmt w:val="lowerLetter"/>
      <w:lvlText w:val="%5)"/>
      <w:lvlJc w:val="left"/>
      <w:pPr>
        <w:tabs>
          <w:tab w:val="left" w:pos="180"/>
        </w:tabs>
        <w:ind w:left="1172" w:hanging="629"/>
      </w:pPr>
      <w:rPr>
        <w:rFonts w:hint="eastAsia"/>
      </w:rPr>
    </w:lvl>
    <w:lvl w:ilvl="5" w:tentative="0">
      <w:start w:val="1"/>
      <w:numFmt w:val="lowerRoman"/>
      <w:lvlText w:val="%6."/>
      <w:lvlJc w:val="right"/>
      <w:pPr>
        <w:tabs>
          <w:tab w:val="left" w:pos="180"/>
        </w:tabs>
        <w:ind w:left="1172" w:hanging="629"/>
      </w:pPr>
      <w:rPr>
        <w:rFonts w:hint="eastAsia"/>
      </w:rPr>
    </w:lvl>
    <w:lvl w:ilvl="6" w:tentative="0">
      <w:start w:val="1"/>
      <w:numFmt w:val="decimal"/>
      <w:lvlText w:val="%7."/>
      <w:lvlJc w:val="left"/>
      <w:pPr>
        <w:tabs>
          <w:tab w:val="left" w:pos="180"/>
        </w:tabs>
        <w:ind w:left="1172" w:hanging="629"/>
      </w:pPr>
      <w:rPr>
        <w:rFonts w:hint="eastAsia"/>
      </w:rPr>
    </w:lvl>
    <w:lvl w:ilvl="7" w:tentative="0">
      <w:start w:val="1"/>
      <w:numFmt w:val="lowerLetter"/>
      <w:lvlText w:val="%8)"/>
      <w:lvlJc w:val="left"/>
      <w:pPr>
        <w:tabs>
          <w:tab w:val="left" w:pos="180"/>
        </w:tabs>
        <w:ind w:left="1172" w:hanging="629"/>
      </w:pPr>
      <w:rPr>
        <w:rFonts w:hint="eastAsia"/>
      </w:rPr>
    </w:lvl>
    <w:lvl w:ilvl="8" w:tentative="0">
      <w:start w:val="1"/>
      <w:numFmt w:val="lowerRoman"/>
      <w:lvlText w:val="%9."/>
      <w:lvlJc w:val="right"/>
      <w:pPr>
        <w:tabs>
          <w:tab w:val="left" w:pos="180"/>
        </w:tabs>
        <w:ind w:left="1172" w:hanging="629"/>
      </w:pPr>
      <w:rPr>
        <w:rFonts w:hint="eastAsia"/>
      </w:rPr>
    </w:lvl>
  </w:abstractNum>
  <w:abstractNum w:abstractNumId="5">
    <w:nsid w:val="1DD772AC"/>
    <w:multiLevelType w:val="multilevel"/>
    <w:tmpl w:val="1DD772AC"/>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pStyle w:val="213"/>
      <w:lvlText w:val="7.1.2.%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6">
    <w:nsid w:val="1FC91163"/>
    <w:multiLevelType w:val="multilevel"/>
    <w:tmpl w:val="1FC91163"/>
    <w:lvl w:ilvl="0" w:tentative="0">
      <w:start w:val="1"/>
      <w:numFmt w:val="decimal"/>
      <w:pStyle w:val="76"/>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73"/>
      <w:suff w:val="nothing"/>
      <w:lvlText w:val="%1.%2　"/>
      <w:lvlJc w:val="left"/>
      <w:pPr>
        <w:ind w:left="0" w:firstLine="0"/>
      </w:pPr>
      <w:rPr>
        <w:rFonts w:hint="eastAsia" w:ascii="黑体" w:hAnsi="Times New Roman" w:eastAsia="黑体" w:cs="Times New Roman"/>
        <w:b w:val="0"/>
        <w:bCs w:val="0"/>
        <w:i w:val="0"/>
        <w:iCs w:val="0"/>
        <w:caps w:val="0"/>
        <w:strike w:val="0"/>
        <w:dstrike w:val="0"/>
        <w:color w:val="000000"/>
        <w:spacing w:val="0"/>
        <w:kern w:val="0"/>
        <w:position w:val="0"/>
        <w:sz w:val="21"/>
        <w:szCs w:val="21"/>
        <w:u w:val="none"/>
        <w14:shadow w14:blurRad="0" w14:dist="0" w14:dir="0" w14:sx="0" w14:sy="0" w14:kx="0" w14:ky="0" w14:algn="none">
          <w14:srgbClr w14:val="000000"/>
        </w14:shadow>
      </w:rPr>
    </w:lvl>
    <w:lvl w:ilvl="2" w:tentative="0">
      <w:start w:val="1"/>
      <w:numFmt w:val="decimal"/>
      <w:pStyle w:val="77"/>
      <w:suff w:val="nothing"/>
      <w:lvlText w:val="%1.%2.%3　"/>
      <w:lvlJc w:val="left"/>
      <w:pPr>
        <w:ind w:left="426" w:firstLine="0"/>
      </w:pPr>
      <w:rPr>
        <w:rFonts w:hint="eastAsia" w:ascii="黑体" w:hAnsi="Times New Roman" w:eastAsia="黑体"/>
        <w:b w:val="0"/>
        <w:i w:val="0"/>
        <w:sz w:val="21"/>
      </w:rPr>
    </w:lvl>
    <w:lvl w:ilvl="3" w:tentative="0">
      <w:start w:val="1"/>
      <w:numFmt w:val="decimal"/>
      <w:pStyle w:val="82"/>
      <w:suff w:val="nothing"/>
      <w:lvlText w:val="%1.%2.%3.%4　"/>
      <w:lvlJc w:val="left"/>
      <w:pPr>
        <w:ind w:left="4679" w:firstLine="0"/>
      </w:pPr>
      <w:rPr>
        <w:rFonts w:hint="eastAsia" w:ascii="黑体" w:hAnsi="Times New Roman" w:eastAsia="黑体"/>
        <w:b w:val="0"/>
        <w:i w:val="0"/>
        <w:color w:val="auto"/>
        <w:sz w:val="21"/>
      </w:rPr>
    </w:lvl>
    <w:lvl w:ilvl="4" w:tentative="0">
      <w:start w:val="1"/>
      <w:numFmt w:val="decimal"/>
      <w:pStyle w:val="86"/>
      <w:suff w:val="nothing"/>
      <w:lvlText w:val="%1.%2.%3.%4.%5　"/>
      <w:lvlJc w:val="left"/>
      <w:pPr>
        <w:ind w:left="0" w:firstLine="0"/>
      </w:pPr>
      <w:rPr>
        <w:rFonts w:hint="eastAsia" w:ascii="黑体" w:hAnsi="Times New Roman" w:eastAsia="黑体"/>
        <w:b w:val="0"/>
        <w:i w:val="0"/>
        <w:sz w:val="21"/>
      </w:rPr>
    </w:lvl>
    <w:lvl w:ilvl="5" w:tentative="0">
      <w:start w:val="1"/>
      <w:numFmt w:val="decimal"/>
      <w:pStyle w:val="87"/>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7">
    <w:nsid w:val="24563ACF"/>
    <w:multiLevelType w:val="multilevel"/>
    <w:tmpl w:val="24563ACF"/>
    <w:lvl w:ilvl="0" w:tentative="0">
      <w:start w:val="1"/>
      <w:numFmt w:val="decimal"/>
      <w:pStyle w:val="206"/>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7.2.2.%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8">
    <w:nsid w:val="2A8F7113"/>
    <w:multiLevelType w:val="multilevel"/>
    <w:tmpl w:val="2A8F7113"/>
    <w:lvl w:ilvl="0" w:tentative="0">
      <w:start w:val="1"/>
      <w:numFmt w:val="upperLetter"/>
      <w:pStyle w:val="127"/>
      <w:suff w:val="space"/>
      <w:lvlText w:val="%1"/>
      <w:lvlJc w:val="left"/>
      <w:pPr>
        <w:ind w:left="623" w:hanging="425"/>
      </w:pPr>
      <w:rPr>
        <w:rFonts w:hint="eastAsia"/>
      </w:rPr>
    </w:lvl>
    <w:lvl w:ilvl="1" w:tentative="0">
      <w:start w:val="1"/>
      <w:numFmt w:val="decimal"/>
      <w:pStyle w:val="128"/>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9">
    <w:nsid w:val="2C5917C3"/>
    <w:multiLevelType w:val="multilevel"/>
    <w:tmpl w:val="2C5917C3"/>
    <w:lvl w:ilvl="0" w:tentative="0">
      <w:start w:val="1"/>
      <w:numFmt w:val="none"/>
      <w:pStyle w:val="79"/>
      <w:suff w:val="nothing"/>
      <w:lvlText w:val="%1——"/>
      <w:lvlJc w:val="left"/>
      <w:pPr>
        <w:ind w:left="833" w:hanging="408"/>
      </w:pPr>
      <w:rPr>
        <w:rFonts w:hint="eastAsia"/>
      </w:rPr>
    </w:lvl>
    <w:lvl w:ilvl="1" w:tentative="0">
      <w:start w:val="1"/>
      <w:numFmt w:val="bullet"/>
      <w:pStyle w:val="80"/>
      <w:lvlText w:val=""/>
      <w:lvlJc w:val="left"/>
      <w:pPr>
        <w:tabs>
          <w:tab w:val="left" w:pos="760"/>
        </w:tabs>
        <w:ind w:left="1264" w:hanging="413"/>
      </w:pPr>
      <w:rPr>
        <w:rFonts w:hint="default" w:ascii="Symbol" w:hAnsi="Symbol"/>
        <w:color w:val="auto"/>
      </w:rPr>
    </w:lvl>
    <w:lvl w:ilvl="2" w:tentative="0">
      <w:start w:val="1"/>
      <w:numFmt w:val="bullet"/>
      <w:pStyle w:val="91"/>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0">
    <w:nsid w:val="2CE3318B"/>
    <w:multiLevelType w:val="multilevel"/>
    <w:tmpl w:val="2CE3318B"/>
    <w:lvl w:ilvl="0" w:tentative="0">
      <w:start w:val="1"/>
      <w:numFmt w:val="lowerLetter"/>
      <w:lvlText w:val="%1）"/>
      <w:lvlJc w:val="left"/>
      <w:pPr>
        <w:ind w:left="360" w:firstLine="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31DF6DEE"/>
    <w:multiLevelType w:val="multilevel"/>
    <w:tmpl w:val="31DF6DEE"/>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6.2.2.%4."/>
      <w:lvlJc w:val="left"/>
      <w:pPr>
        <w:tabs>
          <w:tab w:val="left" w:pos="851"/>
        </w:tabs>
        <w:ind w:left="851" w:hanging="851"/>
      </w:pPr>
      <w:rPr>
        <w:rFonts w:hint="eastAsia"/>
      </w:rPr>
    </w:lvl>
    <w:lvl w:ilvl="4" w:tentative="0">
      <w:start w:val="1"/>
      <w:numFmt w:val="decimal"/>
      <w:pStyle w:val="226"/>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2">
    <w:nsid w:val="34FB481E"/>
    <w:multiLevelType w:val="multilevel"/>
    <w:tmpl w:val="34FB481E"/>
    <w:lvl w:ilvl="0" w:tentative="0">
      <w:start w:val="1"/>
      <w:numFmt w:val="lowerLetter"/>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3">
    <w:nsid w:val="3D733618"/>
    <w:multiLevelType w:val="multilevel"/>
    <w:tmpl w:val="3D733618"/>
    <w:lvl w:ilvl="0" w:tentative="0">
      <w:start w:val="1"/>
      <w:numFmt w:val="decimal"/>
      <w:pStyle w:val="43"/>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14">
    <w:nsid w:val="407E65F9"/>
    <w:multiLevelType w:val="multilevel"/>
    <w:tmpl w:val="407E65F9"/>
    <w:lvl w:ilvl="0" w:tentative="0">
      <w:start w:val="1"/>
      <w:numFmt w:val="none"/>
      <w:pStyle w:val="182"/>
      <w:lvlText w:val="%1·　"/>
      <w:lvlJc w:val="left"/>
      <w:pPr>
        <w:tabs>
          <w:tab w:val="left" w:pos="1140"/>
        </w:tabs>
        <w:ind w:left="737" w:hanging="317"/>
      </w:pPr>
      <w:rPr>
        <w:rFonts w:hint="eastAsia" w:ascii="宋体" w:hAnsi="Times New Roman" w:eastAsia="宋体"/>
        <w:b w:val="0"/>
        <w:i w:val="0"/>
        <w:sz w:val="21"/>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5">
    <w:nsid w:val="44C50F90"/>
    <w:multiLevelType w:val="multilevel"/>
    <w:tmpl w:val="44C50F90"/>
    <w:lvl w:ilvl="0" w:tentative="0">
      <w:start w:val="1"/>
      <w:numFmt w:val="lowerLetter"/>
      <w:lvlText w:val="%1)"/>
      <w:lvlJc w:val="left"/>
      <w:pPr>
        <w:tabs>
          <w:tab w:val="left" w:pos="840"/>
        </w:tabs>
        <w:ind w:left="839" w:hanging="419"/>
      </w:pPr>
      <w:rPr>
        <w:rFonts w:hint="eastAsia" w:ascii="宋体" w:eastAsia="宋体"/>
        <w:b w:val="0"/>
        <w:i w:val="0"/>
        <w:sz w:val="21"/>
        <w:szCs w:val="21"/>
      </w:rPr>
    </w:lvl>
    <w:lvl w:ilvl="1" w:tentative="0">
      <w:start w:val="1"/>
      <w:numFmt w:val="decimal"/>
      <w:pStyle w:val="85"/>
      <w:lvlText w:val="%2)"/>
      <w:lvlJc w:val="left"/>
      <w:pPr>
        <w:tabs>
          <w:tab w:val="left" w:pos="1260"/>
        </w:tabs>
        <w:ind w:left="1259" w:hanging="419"/>
      </w:pPr>
      <w:rPr>
        <w:rFonts w:hint="eastAsia"/>
      </w:rPr>
    </w:lvl>
    <w:lvl w:ilvl="2" w:tentative="0">
      <w:start w:val="1"/>
      <w:numFmt w:val="decimal"/>
      <w:pStyle w:val="92"/>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6">
    <w:nsid w:val="4FF10756"/>
    <w:multiLevelType w:val="multilevel"/>
    <w:tmpl w:val="4FF10756"/>
    <w:lvl w:ilvl="0" w:tentative="0">
      <w:start w:val="1"/>
      <w:numFmt w:val="low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5D500AFE"/>
    <w:multiLevelType w:val="multilevel"/>
    <w:tmpl w:val="5D500AFE"/>
    <w:lvl w:ilvl="0" w:tentative="0">
      <w:start w:val="1"/>
      <w:numFmt w:val="lowerLetter"/>
      <w:lvlText w:val="%1）"/>
      <w:lvlJc w:val="left"/>
      <w:pPr>
        <w:ind w:left="360" w:firstLine="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60266FC6"/>
    <w:multiLevelType w:val="multilevel"/>
    <w:tmpl w:val="60266FC6"/>
    <w:lvl w:ilvl="0" w:tentative="0">
      <w:start w:val="1"/>
      <w:numFmt w:val="upperLetter"/>
      <w:suff w:val="space"/>
      <w:lvlText w:val="Annex %1"/>
      <w:lvlJc w:val="left"/>
      <w:pPr>
        <w:ind w:left="0" w:firstLine="0"/>
      </w:pPr>
    </w:lvl>
    <w:lvl w:ilvl="1" w:tentative="0">
      <w:start w:val="1"/>
      <w:numFmt w:val="decimal"/>
      <w:lvlText w:val="%1.%2"/>
      <w:lvlJc w:val="left"/>
      <w:pPr>
        <w:tabs>
          <w:tab w:val="left" w:pos="680"/>
        </w:tabs>
        <w:ind w:left="680" w:hanging="680"/>
      </w:pPr>
    </w:lvl>
    <w:lvl w:ilvl="2" w:tentative="0">
      <w:start w:val="1"/>
      <w:numFmt w:val="decimal"/>
      <w:lvlText w:val="%1.%2.%3"/>
      <w:lvlJc w:val="left"/>
      <w:pPr>
        <w:tabs>
          <w:tab w:val="left" w:pos="907"/>
        </w:tabs>
        <w:ind w:left="907" w:hanging="907"/>
      </w:pPr>
    </w:lvl>
    <w:lvl w:ilvl="3" w:tentative="0">
      <w:start w:val="1"/>
      <w:numFmt w:val="decimal"/>
      <w:pStyle w:val="20"/>
      <w:lvlText w:val="%1.%2.%3.%4"/>
      <w:lvlJc w:val="left"/>
      <w:pPr>
        <w:tabs>
          <w:tab w:val="left" w:pos="1134"/>
        </w:tabs>
        <w:ind w:left="1134" w:hanging="1134"/>
      </w:pPr>
    </w:lvl>
    <w:lvl w:ilvl="4" w:tentative="0">
      <w:start w:val="1"/>
      <w:numFmt w:val="decimal"/>
      <w:lvlText w:val="%1.%2.%3.%4.%5"/>
      <w:lvlJc w:val="left"/>
      <w:pPr>
        <w:tabs>
          <w:tab w:val="left" w:pos="1361"/>
        </w:tabs>
        <w:ind w:left="1361" w:hanging="1361"/>
      </w:pPr>
    </w:lvl>
    <w:lvl w:ilvl="5" w:tentative="0">
      <w:start w:val="1"/>
      <w:numFmt w:val="decimal"/>
      <w:pStyle w:val="55"/>
      <w:lvlText w:val="%1.%2.%3.%4.%5.%6"/>
      <w:lvlJc w:val="left"/>
      <w:pPr>
        <w:tabs>
          <w:tab w:val="left" w:pos="1588"/>
        </w:tabs>
        <w:ind w:left="1588" w:hanging="1588"/>
      </w:pPr>
    </w:lvl>
    <w:lvl w:ilvl="6" w:tentative="0">
      <w:start w:val="1"/>
      <w:numFmt w:val="decimal"/>
      <w:lvlText w:val="%1.%2.%3.%4.%5.%6.%7"/>
      <w:lvlJc w:val="left"/>
      <w:pPr>
        <w:tabs>
          <w:tab w:val="left" w:pos="0"/>
        </w:tabs>
        <w:ind w:left="0" w:firstLine="0"/>
      </w:pPr>
    </w:lvl>
    <w:lvl w:ilvl="7" w:tentative="0">
      <w:start w:val="1"/>
      <w:numFmt w:val="decimal"/>
      <w:lvlText w:val="%1.%2.%3.%4.%5.%6.%7.%8"/>
      <w:lvlJc w:val="left"/>
      <w:pPr>
        <w:tabs>
          <w:tab w:val="left" w:pos="0"/>
        </w:tabs>
        <w:ind w:left="0" w:firstLine="0"/>
      </w:pPr>
    </w:lvl>
    <w:lvl w:ilvl="8" w:tentative="0">
      <w:start w:val="1"/>
      <w:numFmt w:val="decimal"/>
      <w:lvlText w:val="%1.%2.%3.%4.%5.%6.%7.%8.%9"/>
      <w:lvlJc w:val="left"/>
      <w:pPr>
        <w:tabs>
          <w:tab w:val="left" w:pos="0"/>
        </w:tabs>
        <w:ind w:left="0" w:firstLine="0"/>
      </w:pPr>
    </w:lvl>
  </w:abstractNum>
  <w:abstractNum w:abstractNumId="19">
    <w:nsid w:val="60B55DC2"/>
    <w:multiLevelType w:val="multilevel"/>
    <w:tmpl w:val="60B55DC2"/>
    <w:lvl w:ilvl="0" w:tentative="0">
      <w:start w:val="1"/>
      <w:numFmt w:val="upperLetter"/>
      <w:pStyle w:val="116"/>
      <w:lvlText w:val="%1"/>
      <w:lvlJc w:val="left"/>
      <w:pPr>
        <w:tabs>
          <w:tab w:val="left" w:pos="0"/>
        </w:tabs>
        <w:ind w:left="0" w:hanging="425"/>
      </w:pPr>
      <w:rPr>
        <w:rFonts w:hint="eastAsia"/>
      </w:rPr>
    </w:lvl>
    <w:lvl w:ilvl="1" w:tentative="0">
      <w:start w:val="1"/>
      <w:numFmt w:val="decimal"/>
      <w:pStyle w:val="117"/>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20">
    <w:nsid w:val="657D3FBC"/>
    <w:multiLevelType w:val="multilevel"/>
    <w:tmpl w:val="657D3FBC"/>
    <w:lvl w:ilvl="0" w:tentative="0">
      <w:start w:val="1"/>
      <w:numFmt w:val="upperLetter"/>
      <w:pStyle w:val="114"/>
      <w:suff w:val="nothing"/>
      <w:lvlText w:val="附　录　%1"/>
      <w:lvlJc w:val="left"/>
      <w:pPr>
        <w:ind w:left="4395" w:firstLine="0"/>
      </w:pPr>
      <w:rPr>
        <w:rFonts w:hint="eastAsia" w:ascii="黑体" w:hAnsi="Times New Roman" w:eastAsia="黑体"/>
        <w:b w:val="0"/>
        <w:i w:val="0"/>
        <w:spacing w:val="0"/>
        <w:w w:val="100"/>
        <w:sz w:val="21"/>
      </w:rPr>
    </w:lvl>
    <w:lvl w:ilvl="1" w:tentative="0">
      <w:start w:val="1"/>
      <w:numFmt w:val="decimal"/>
      <w:pStyle w:val="131"/>
      <w:suff w:val="nothing"/>
      <w:lvlText w:val="%1.%2　"/>
      <w:lvlJc w:val="left"/>
      <w:pPr>
        <w:ind w:left="0" w:firstLine="0"/>
      </w:pPr>
      <w:rPr>
        <w:rFonts w:hint="eastAsia" w:ascii="黑体" w:hAnsi="Times New Roman" w:eastAsia="黑体"/>
        <w:b w:val="0"/>
        <w:i w:val="0"/>
        <w:spacing w:val="0"/>
        <w:w w:val="100"/>
        <w:kern w:val="21"/>
        <w:sz w:val="21"/>
      </w:rPr>
    </w:lvl>
    <w:lvl w:ilvl="2" w:tentative="0">
      <w:start w:val="1"/>
      <w:numFmt w:val="decimal"/>
      <w:pStyle w:val="132"/>
      <w:suff w:val="nothing"/>
      <w:lvlText w:val="%1.%2.%3　"/>
      <w:lvlJc w:val="left"/>
      <w:pPr>
        <w:ind w:left="0" w:firstLine="0"/>
      </w:pPr>
      <w:rPr>
        <w:rFonts w:hint="eastAsia" w:ascii="黑体" w:hAnsi="Times New Roman" w:eastAsia="黑体"/>
        <w:b w:val="0"/>
        <w:i w:val="0"/>
        <w:sz w:val="21"/>
      </w:rPr>
    </w:lvl>
    <w:lvl w:ilvl="3" w:tentative="0">
      <w:start w:val="1"/>
      <w:numFmt w:val="decimal"/>
      <w:pStyle w:val="118"/>
      <w:suff w:val="nothing"/>
      <w:lvlText w:val="%1.%2.%3.%4　"/>
      <w:lvlJc w:val="left"/>
      <w:pPr>
        <w:ind w:left="0" w:firstLine="0"/>
      </w:pPr>
      <w:rPr>
        <w:rFonts w:hint="eastAsia" w:ascii="黑体" w:hAnsi="Times New Roman" w:eastAsia="黑体"/>
        <w:b w:val="0"/>
        <w:i w:val="0"/>
        <w:sz w:val="21"/>
      </w:rPr>
    </w:lvl>
    <w:lvl w:ilvl="4" w:tentative="0">
      <w:start w:val="1"/>
      <w:numFmt w:val="decimal"/>
      <w:pStyle w:val="122"/>
      <w:suff w:val="nothing"/>
      <w:lvlText w:val="%1.%2.%3.%4.%5　"/>
      <w:lvlJc w:val="left"/>
      <w:pPr>
        <w:ind w:left="0" w:firstLine="0"/>
      </w:pPr>
      <w:rPr>
        <w:rFonts w:hint="eastAsia" w:ascii="黑体" w:hAnsi="Times New Roman" w:eastAsia="黑体"/>
        <w:b w:val="0"/>
        <w:i w:val="0"/>
        <w:sz w:val="21"/>
      </w:rPr>
    </w:lvl>
    <w:lvl w:ilvl="5" w:tentative="0">
      <w:start w:val="1"/>
      <w:numFmt w:val="decimal"/>
      <w:pStyle w:val="125"/>
      <w:suff w:val="nothing"/>
      <w:lvlText w:val="%1.%2.%3.%4.%5.%6　"/>
      <w:lvlJc w:val="left"/>
      <w:pPr>
        <w:ind w:left="0" w:firstLine="0"/>
      </w:pPr>
      <w:rPr>
        <w:rFonts w:hint="eastAsia" w:ascii="黑体" w:hAnsi="Times New Roman" w:eastAsia="黑体"/>
        <w:b w:val="0"/>
        <w:i w:val="0"/>
        <w:sz w:val="21"/>
      </w:rPr>
    </w:lvl>
    <w:lvl w:ilvl="6" w:tentative="0">
      <w:start w:val="1"/>
      <w:numFmt w:val="decimal"/>
      <w:pStyle w:val="129"/>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1">
    <w:nsid w:val="6D6C07CD"/>
    <w:multiLevelType w:val="multilevel"/>
    <w:tmpl w:val="6D6C07CD"/>
    <w:lvl w:ilvl="0" w:tentative="0">
      <w:start w:val="1"/>
      <w:numFmt w:val="lowerLetter"/>
      <w:pStyle w:val="134"/>
      <w:lvlText w:val="%1)"/>
      <w:lvlJc w:val="left"/>
      <w:pPr>
        <w:tabs>
          <w:tab w:val="left" w:pos="839"/>
        </w:tabs>
        <w:ind w:left="839" w:hanging="419"/>
      </w:pPr>
      <w:rPr>
        <w:rFonts w:hint="eastAsia" w:ascii="宋体" w:eastAsia="宋体"/>
        <w:b w:val="0"/>
        <w:i w:val="0"/>
        <w:sz w:val="21"/>
      </w:rPr>
    </w:lvl>
    <w:lvl w:ilvl="1" w:tentative="0">
      <w:start w:val="1"/>
      <w:numFmt w:val="decimal"/>
      <w:pStyle w:val="124"/>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22">
    <w:nsid w:val="714C4E7F"/>
    <w:multiLevelType w:val="multilevel"/>
    <w:tmpl w:val="714C4E7F"/>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6.2.2.%4."/>
      <w:lvlJc w:val="left"/>
      <w:pPr>
        <w:tabs>
          <w:tab w:val="left" w:pos="851"/>
        </w:tabs>
        <w:ind w:left="851" w:hanging="851"/>
      </w:pPr>
      <w:rPr>
        <w:rFonts w:hint="eastAsia"/>
      </w:rPr>
    </w:lvl>
    <w:lvl w:ilvl="4" w:tentative="0">
      <w:start w:val="1"/>
      <w:numFmt w:val="decimal"/>
      <w:pStyle w:val="224"/>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75482382"/>
    <w:multiLevelType w:val="multilevel"/>
    <w:tmpl w:val="75482382"/>
    <w:lvl w:ilvl="0" w:tentative="0">
      <w:start w:val="1"/>
      <w:numFmt w:val="decimal"/>
      <w:lvlText w:val="%1)"/>
      <w:lvlJc w:val="left"/>
      <w:pPr>
        <w:ind w:left="840" w:hanging="420"/>
      </w:pPr>
    </w:lvl>
    <w:lvl w:ilvl="1" w:tentative="0">
      <w:start w:val="1"/>
      <w:numFmt w:val="decimal"/>
      <w:lvlText w:val="%2)"/>
      <w:lvlJc w:val="left"/>
      <w:pPr>
        <w:ind w:left="820" w:hanging="253"/>
      </w:pPr>
      <w:rPr>
        <w:rFonts w:hint="eastAsia"/>
      </w:r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4">
    <w:nsid w:val="76933334"/>
    <w:multiLevelType w:val="multilevel"/>
    <w:tmpl w:val="76933334"/>
    <w:lvl w:ilvl="0" w:tentative="0">
      <w:start w:val="1"/>
      <w:numFmt w:val="none"/>
      <w:pStyle w:val="181"/>
      <w:lvlText w:val="%1——"/>
      <w:lvlJc w:val="left"/>
      <w:pPr>
        <w:tabs>
          <w:tab w:val="left" w:pos="1140"/>
        </w:tabs>
        <w:ind w:left="84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5">
    <w:nsid w:val="7B401C21"/>
    <w:multiLevelType w:val="multilevel"/>
    <w:tmpl w:val="7B401C21"/>
    <w:lvl w:ilvl="0" w:tentative="0">
      <w:start w:val="1"/>
      <w:numFmt w:val="lowerLetter"/>
      <w:lvlText w:val="%1）"/>
      <w:lvlJc w:val="left"/>
      <w:pPr>
        <w:ind w:left="360" w:firstLine="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8"/>
  </w:num>
  <w:num w:numId="2">
    <w:abstractNumId w:val="13"/>
  </w:num>
  <w:num w:numId="3">
    <w:abstractNumId w:val="6"/>
  </w:num>
  <w:num w:numId="4">
    <w:abstractNumId w:val="9"/>
  </w:num>
  <w:num w:numId="5">
    <w:abstractNumId w:val="15"/>
  </w:num>
  <w:num w:numId="6">
    <w:abstractNumId w:val="4"/>
  </w:num>
  <w:num w:numId="7">
    <w:abstractNumId w:val="20"/>
  </w:num>
  <w:num w:numId="8">
    <w:abstractNumId w:val="19"/>
  </w:num>
  <w:num w:numId="9">
    <w:abstractNumId w:val="21"/>
  </w:num>
  <w:num w:numId="10">
    <w:abstractNumId w:val="8"/>
  </w:num>
  <w:num w:numId="11">
    <w:abstractNumId w:val="0"/>
  </w:num>
  <w:num w:numId="12">
    <w:abstractNumId w:val="24"/>
  </w:num>
  <w:num w:numId="13">
    <w:abstractNumId w:val="14"/>
  </w:num>
  <w:num w:numId="14">
    <w:abstractNumId w:val="7"/>
  </w:num>
  <w:num w:numId="15">
    <w:abstractNumId w:val="1"/>
  </w:num>
  <w:num w:numId="16">
    <w:abstractNumId w:val="5"/>
  </w:num>
  <w:num w:numId="17">
    <w:abstractNumId w:val="22"/>
  </w:num>
  <w:num w:numId="18">
    <w:abstractNumId w:val="11"/>
  </w:num>
  <w:num w:numId="19">
    <w:abstractNumId w:val="12"/>
  </w:num>
  <w:num w:numId="20">
    <w:abstractNumId w:val="16"/>
  </w:num>
  <w:num w:numId="21">
    <w:abstractNumId w:val="3"/>
  </w:num>
  <w:num w:numId="22">
    <w:abstractNumId w:val="17"/>
  </w:num>
  <w:num w:numId="23">
    <w:abstractNumId w:val="23"/>
  </w:num>
  <w:num w:numId="24">
    <w:abstractNumId w:val="25"/>
  </w:num>
  <w:num w:numId="25">
    <w:abstractNumId w:val="10"/>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mirrorMargins w:val="1"/>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925"/>
    <w:rsid w:val="00000244"/>
    <w:rsid w:val="0000185F"/>
    <w:rsid w:val="00003866"/>
    <w:rsid w:val="000039AA"/>
    <w:rsid w:val="00004019"/>
    <w:rsid w:val="0000586F"/>
    <w:rsid w:val="00006FD5"/>
    <w:rsid w:val="00010D80"/>
    <w:rsid w:val="00012C7A"/>
    <w:rsid w:val="00013D86"/>
    <w:rsid w:val="00013E02"/>
    <w:rsid w:val="000148E4"/>
    <w:rsid w:val="00014A35"/>
    <w:rsid w:val="000153C4"/>
    <w:rsid w:val="000156C1"/>
    <w:rsid w:val="00016E21"/>
    <w:rsid w:val="0002143C"/>
    <w:rsid w:val="00022469"/>
    <w:rsid w:val="00024A1C"/>
    <w:rsid w:val="00025A65"/>
    <w:rsid w:val="00026C31"/>
    <w:rsid w:val="00027280"/>
    <w:rsid w:val="00031086"/>
    <w:rsid w:val="00031BAA"/>
    <w:rsid w:val="000320A7"/>
    <w:rsid w:val="00032F55"/>
    <w:rsid w:val="00035925"/>
    <w:rsid w:val="00035F97"/>
    <w:rsid w:val="00036023"/>
    <w:rsid w:val="000361B9"/>
    <w:rsid w:val="00041BB3"/>
    <w:rsid w:val="000448E3"/>
    <w:rsid w:val="000465F5"/>
    <w:rsid w:val="000468CA"/>
    <w:rsid w:val="00047E39"/>
    <w:rsid w:val="00050EFB"/>
    <w:rsid w:val="00057C90"/>
    <w:rsid w:val="00061954"/>
    <w:rsid w:val="000651D7"/>
    <w:rsid w:val="00066C22"/>
    <w:rsid w:val="000678CF"/>
    <w:rsid w:val="00067CDF"/>
    <w:rsid w:val="000724D5"/>
    <w:rsid w:val="00074FBE"/>
    <w:rsid w:val="000763C6"/>
    <w:rsid w:val="00083A09"/>
    <w:rsid w:val="00084617"/>
    <w:rsid w:val="000853A8"/>
    <w:rsid w:val="0009005E"/>
    <w:rsid w:val="00092857"/>
    <w:rsid w:val="000A20A9"/>
    <w:rsid w:val="000A2872"/>
    <w:rsid w:val="000A4424"/>
    <w:rsid w:val="000A48B1"/>
    <w:rsid w:val="000A6A12"/>
    <w:rsid w:val="000B3143"/>
    <w:rsid w:val="000B3E9C"/>
    <w:rsid w:val="000B5F2A"/>
    <w:rsid w:val="000B65A2"/>
    <w:rsid w:val="000C248E"/>
    <w:rsid w:val="000C6B05"/>
    <w:rsid w:val="000C6DD6"/>
    <w:rsid w:val="000C73D4"/>
    <w:rsid w:val="000D101B"/>
    <w:rsid w:val="000D173A"/>
    <w:rsid w:val="000D1A95"/>
    <w:rsid w:val="000D2E1D"/>
    <w:rsid w:val="000D3D4C"/>
    <w:rsid w:val="000D4508"/>
    <w:rsid w:val="000D4F51"/>
    <w:rsid w:val="000D6574"/>
    <w:rsid w:val="000D6713"/>
    <w:rsid w:val="000D718B"/>
    <w:rsid w:val="000E06B9"/>
    <w:rsid w:val="000E0B7A"/>
    <w:rsid w:val="000E0C46"/>
    <w:rsid w:val="000E539B"/>
    <w:rsid w:val="000E5F02"/>
    <w:rsid w:val="000E6BAE"/>
    <w:rsid w:val="000F030C"/>
    <w:rsid w:val="000F10D6"/>
    <w:rsid w:val="000F129C"/>
    <w:rsid w:val="000F20CE"/>
    <w:rsid w:val="000F550C"/>
    <w:rsid w:val="000F6422"/>
    <w:rsid w:val="0010099C"/>
    <w:rsid w:val="001056DE"/>
    <w:rsid w:val="00106313"/>
    <w:rsid w:val="0010653D"/>
    <w:rsid w:val="001121AC"/>
    <w:rsid w:val="001124C0"/>
    <w:rsid w:val="00113602"/>
    <w:rsid w:val="00115E19"/>
    <w:rsid w:val="00115ED0"/>
    <w:rsid w:val="00117545"/>
    <w:rsid w:val="001239BE"/>
    <w:rsid w:val="00127333"/>
    <w:rsid w:val="0013175F"/>
    <w:rsid w:val="00133FC7"/>
    <w:rsid w:val="00134DA9"/>
    <w:rsid w:val="00140C3B"/>
    <w:rsid w:val="00142E16"/>
    <w:rsid w:val="00144778"/>
    <w:rsid w:val="00147E3E"/>
    <w:rsid w:val="00150936"/>
    <w:rsid w:val="001512B4"/>
    <w:rsid w:val="00160B05"/>
    <w:rsid w:val="001620A5"/>
    <w:rsid w:val="001643DA"/>
    <w:rsid w:val="00164E53"/>
    <w:rsid w:val="001653B3"/>
    <w:rsid w:val="00165E9E"/>
    <w:rsid w:val="00166508"/>
    <w:rsid w:val="0016699D"/>
    <w:rsid w:val="0017084B"/>
    <w:rsid w:val="001710CA"/>
    <w:rsid w:val="00171E0E"/>
    <w:rsid w:val="00172DF8"/>
    <w:rsid w:val="00173383"/>
    <w:rsid w:val="00175159"/>
    <w:rsid w:val="00176208"/>
    <w:rsid w:val="0018184E"/>
    <w:rsid w:val="0018211B"/>
    <w:rsid w:val="001840D3"/>
    <w:rsid w:val="00185471"/>
    <w:rsid w:val="001900F8"/>
    <w:rsid w:val="00190ED4"/>
    <w:rsid w:val="00191258"/>
    <w:rsid w:val="00192680"/>
    <w:rsid w:val="00193037"/>
    <w:rsid w:val="0019317C"/>
    <w:rsid w:val="00193737"/>
    <w:rsid w:val="00193A2C"/>
    <w:rsid w:val="00196F5F"/>
    <w:rsid w:val="00197B16"/>
    <w:rsid w:val="001A194B"/>
    <w:rsid w:val="001A288E"/>
    <w:rsid w:val="001A345C"/>
    <w:rsid w:val="001A401A"/>
    <w:rsid w:val="001A4FB3"/>
    <w:rsid w:val="001B0E9A"/>
    <w:rsid w:val="001B11E9"/>
    <w:rsid w:val="001B1264"/>
    <w:rsid w:val="001B290B"/>
    <w:rsid w:val="001B3A39"/>
    <w:rsid w:val="001B40A3"/>
    <w:rsid w:val="001B6A6D"/>
    <w:rsid w:val="001B6DC2"/>
    <w:rsid w:val="001C149C"/>
    <w:rsid w:val="001C14DE"/>
    <w:rsid w:val="001C21AC"/>
    <w:rsid w:val="001C2569"/>
    <w:rsid w:val="001C31E9"/>
    <w:rsid w:val="001C47BA"/>
    <w:rsid w:val="001C4CC3"/>
    <w:rsid w:val="001C59EA"/>
    <w:rsid w:val="001C62DF"/>
    <w:rsid w:val="001C675F"/>
    <w:rsid w:val="001D3EAA"/>
    <w:rsid w:val="001D406C"/>
    <w:rsid w:val="001D41EE"/>
    <w:rsid w:val="001D4646"/>
    <w:rsid w:val="001D4956"/>
    <w:rsid w:val="001D61E2"/>
    <w:rsid w:val="001D7E96"/>
    <w:rsid w:val="001E0380"/>
    <w:rsid w:val="001E13B1"/>
    <w:rsid w:val="001E3BD5"/>
    <w:rsid w:val="001E7B9A"/>
    <w:rsid w:val="001E7BB4"/>
    <w:rsid w:val="001F3A19"/>
    <w:rsid w:val="001F441B"/>
    <w:rsid w:val="001F58CE"/>
    <w:rsid w:val="001F6B80"/>
    <w:rsid w:val="002107A7"/>
    <w:rsid w:val="00211E49"/>
    <w:rsid w:val="00214358"/>
    <w:rsid w:val="0022318F"/>
    <w:rsid w:val="00224063"/>
    <w:rsid w:val="00224273"/>
    <w:rsid w:val="002325E3"/>
    <w:rsid w:val="00234467"/>
    <w:rsid w:val="00236024"/>
    <w:rsid w:val="00237596"/>
    <w:rsid w:val="00237D8D"/>
    <w:rsid w:val="00240840"/>
    <w:rsid w:val="00241DA2"/>
    <w:rsid w:val="00243FBD"/>
    <w:rsid w:val="00247FEE"/>
    <w:rsid w:val="00250E7D"/>
    <w:rsid w:val="002521D3"/>
    <w:rsid w:val="00253325"/>
    <w:rsid w:val="00256576"/>
    <w:rsid w:val="002565D5"/>
    <w:rsid w:val="002622C0"/>
    <w:rsid w:val="0027065D"/>
    <w:rsid w:val="002713B0"/>
    <w:rsid w:val="00273CF5"/>
    <w:rsid w:val="002754B3"/>
    <w:rsid w:val="002778AE"/>
    <w:rsid w:val="0028269A"/>
    <w:rsid w:val="00282757"/>
    <w:rsid w:val="00283313"/>
    <w:rsid w:val="00283590"/>
    <w:rsid w:val="002840ED"/>
    <w:rsid w:val="00286973"/>
    <w:rsid w:val="002911EC"/>
    <w:rsid w:val="00294E70"/>
    <w:rsid w:val="00296B97"/>
    <w:rsid w:val="00297CC1"/>
    <w:rsid w:val="002A1924"/>
    <w:rsid w:val="002A5E89"/>
    <w:rsid w:val="002A7420"/>
    <w:rsid w:val="002B0F12"/>
    <w:rsid w:val="002B1308"/>
    <w:rsid w:val="002B4554"/>
    <w:rsid w:val="002B63E5"/>
    <w:rsid w:val="002C0A78"/>
    <w:rsid w:val="002C5529"/>
    <w:rsid w:val="002C5703"/>
    <w:rsid w:val="002C6155"/>
    <w:rsid w:val="002C72D8"/>
    <w:rsid w:val="002D11FA"/>
    <w:rsid w:val="002D1EDC"/>
    <w:rsid w:val="002D2D31"/>
    <w:rsid w:val="002D4465"/>
    <w:rsid w:val="002D4C31"/>
    <w:rsid w:val="002E0DDF"/>
    <w:rsid w:val="002E2906"/>
    <w:rsid w:val="002E2D86"/>
    <w:rsid w:val="002E5635"/>
    <w:rsid w:val="002E57F0"/>
    <w:rsid w:val="002E5DF9"/>
    <w:rsid w:val="002E64C3"/>
    <w:rsid w:val="002E6A2C"/>
    <w:rsid w:val="002F1C24"/>
    <w:rsid w:val="002F1D8C"/>
    <w:rsid w:val="002F21DA"/>
    <w:rsid w:val="002F72AC"/>
    <w:rsid w:val="00300007"/>
    <w:rsid w:val="00301F39"/>
    <w:rsid w:val="00303EC4"/>
    <w:rsid w:val="0030580D"/>
    <w:rsid w:val="003160BE"/>
    <w:rsid w:val="003170EC"/>
    <w:rsid w:val="00322B01"/>
    <w:rsid w:val="00322B64"/>
    <w:rsid w:val="00325926"/>
    <w:rsid w:val="00327A8A"/>
    <w:rsid w:val="0033000B"/>
    <w:rsid w:val="00333108"/>
    <w:rsid w:val="00336185"/>
    <w:rsid w:val="00336610"/>
    <w:rsid w:val="0033738E"/>
    <w:rsid w:val="00337A76"/>
    <w:rsid w:val="00342013"/>
    <w:rsid w:val="003437B6"/>
    <w:rsid w:val="00343BE5"/>
    <w:rsid w:val="00343F73"/>
    <w:rsid w:val="00343F81"/>
    <w:rsid w:val="00345060"/>
    <w:rsid w:val="0034688E"/>
    <w:rsid w:val="00347C50"/>
    <w:rsid w:val="00351544"/>
    <w:rsid w:val="00351F83"/>
    <w:rsid w:val="0035323B"/>
    <w:rsid w:val="00354715"/>
    <w:rsid w:val="003609D2"/>
    <w:rsid w:val="003629F2"/>
    <w:rsid w:val="00363F22"/>
    <w:rsid w:val="00364C30"/>
    <w:rsid w:val="00366BC7"/>
    <w:rsid w:val="003706AC"/>
    <w:rsid w:val="00370B59"/>
    <w:rsid w:val="003736EB"/>
    <w:rsid w:val="0037456F"/>
    <w:rsid w:val="003749B8"/>
    <w:rsid w:val="00375564"/>
    <w:rsid w:val="00383191"/>
    <w:rsid w:val="003850E6"/>
    <w:rsid w:val="0038605A"/>
    <w:rsid w:val="00386DED"/>
    <w:rsid w:val="0038785D"/>
    <w:rsid w:val="003912E7"/>
    <w:rsid w:val="00391C17"/>
    <w:rsid w:val="00393947"/>
    <w:rsid w:val="00395382"/>
    <w:rsid w:val="003A0C43"/>
    <w:rsid w:val="003A2275"/>
    <w:rsid w:val="003A23DD"/>
    <w:rsid w:val="003A40D3"/>
    <w:rsid w:val="003A5D72"/>
    <w:rsid w:val="003A6A4F"/>
    <w:rsid w:val="003A7088"/>
    <w:rsid w:val="003B00DF"/>
    <w:rsid w:val="003B09B8"/>
    <w:rsid w:val="003B1275"/>
    <w:rsid w:val="003B1778"/>
    <w:rsid w:val="003B301A"/>
    <w:rsid w:val="003B618C"/>
    <w:rsid w:val="003B7264"/>
    <w:rsid w:val="003C11CB"/>
    <w:rsid w:val="003C1459"/>
    <w:rsid w:val="003C2287"/>
    <w:rsid w:val="003C5655"/>
    <w:rsid w:val="003C6008"/>
    <w:rsid w:val="003C75F3"/>
    <w:rsid w:val="003C78A3"/>
    <w:rsid w:val="003D076E"/>
    <w:rsid w:val="003D1429"/>
    <w:rsid w:val="003D453C"/>
    <w:rsid w:val="003D6C2E"/>
    <w:rsid w:val="003E1867"/>
    <w:rsid w:val="003E4A9A"/>
    <w:rsid w:val="003E4F82"/>
    <w:rsid w:val="003E5729"/>
    <w:rsid w:val="003E5DB3"/>
    <w:rsid w:val="003E6055"/>
    <w:rsid w:val="003F18C5"/>
    <w:rsid w:val="003F2858"/>
    <w:rsid w:val="003F4131"/>
    <w:rsid w:val="003F4EE0"/>
    <w:rsid w:val="003F54F2"/>
    <w:rsid w:val="004012BC"/>
    <w:rsid w:val="0040154D"/>
    <w:rsid w:val="00402153"/>
    <w:rsid w:val="00402FC1"/>
    <w:rsid w:val="00404991"/>
    <w:rsid w:val="00407F26"/>
    <w:rsid w:val="00411836"/>
    <w:rsid w:val="00411CCD"/>
    <w:rsid w:val="00420A0B"/>
    <w:rsid w:val="00422A95"/>
    <w:rsid w:val="00425082"/>
    <w:rsid w:val="0042646E"/>
    <w:rsid w:val="00431DEB"/>
    <w:rsid w:val="00440CE0"/>
    <w:rsid w:val="00441A0C"/>
    <w:rsid w:val="00441D1B"/>
    <w:rsid w:val="00444358"/>
    <w:rsid w:val="004449CD"/>
    <w:rsid w:val="00446B29"/>
    <w:rsid w:val="0045256F"/>
    <w:rsid w:val="00452653"/>
    <w:rsid w:val="00453F9A"/>
    <w:rsid w:val="00454BD0"/>
    <w:rsid w:val="00455548"/>
    <w:rsid w:val="004563F6"/>
    <w:rsid w:val="00470286"/>
    <w:rsid w:val="004709D6"/>
    <w:rsid w:val="00471E91"/>
    <w:rsid w:val="00471EB0"/>
    <w:rsid w:val="00472E5C"/>
    <w:rsid w:val="00474675"/>
    <w:rsid w:val="0047470C"/>
    <w:rsid w:val="00475D89"/>
    <w:rsid w:val="00483144"/>
    <w:rsid w:val="00485158"/>
    <w:rsid w:val="0048659D"/>
    <w:rsid w:val="00487BFC"/>
    <w:rsid w:val="00493182"/>
    <w:rsid w:val="00493359"/>
    <w:rsid w:val="00493F57"/>
    <w:rsid w:val="00495D4A"/>
    <w:rsid w:val="004961BB"/>
    <w:rsid w:val="004A01BA"/>
    <w:rsid w:val="004A0869"/>
    <w:rsid w:val="004A298E"/>
    <w:rsid w:val="004A35F9"/>
    <w:rsid w:val="004B018A"/>
    <w:rsid w:val="004B0D19"/>
    <w:rsid w:val="004B0DAB"/>
    <w:rsid w:val="004B24C1"/>
    <w:rsid w:val="004B2A84"/>
    <w:rsid w:val="004B38BC"/>
    <w:rsid w:val="004C1964"/>
    <w:rsid w:val="004C292F"/>
    <w:rsid w:val="004C2F0B"/>
    <w:rsid w:val="004C333A"/>
    <w:rsid w:val="004C3386"/>
    <w:rsid w:val="004C33A3"/>
    <w:rsid w:val="004C628A"/>
    <w:rsid w:val="004C6C64"/>
    <w:rsid w:val="004D05BE"/>
    <w:rsid w:val="004D1970"/>
    <w:rsid w:val="004D25E9"/>
    <w:rsid w:val="004D476C"/>
    <w:rsid w:val="004D6443"/>
    <w:rsid w:val="004D6D8A"/>
    <w:rsid w:val="004E0449"/>
    <w:rsid w:val="004E064E"/>
    <w:rsid w:val="004E0ECC"/>
    <w:rsid w:val="004F7B99"/>
    <w:rsid w:val="00506FF0"/>
    <w:rsid w:val="00510280"/>
    <w:rsid w:val="00512102"/>
    <w:rsid w:val="00513D73"/>
    <w:rsid w:val="00514A43"/>
    <w:rsid w:val="00514E04"/>
    <w:rsid w:val="00515518"/>
    <w:rsid w:val="005174E5"/>
    <w:rsid w:val="00522393"/>
    <w:rsid w:val="00522620"/>
    <w:rsid w:val="00525021"/>
    <w:rsid w:val="005253CE"/>
    <w:rsid w:val="00525656"/>
    <w:rsid w:val="00527117"/>
    <w:rsid w:val="00530CDC"/>
    <w:rsid w:val="00530E80"/>
    <w:rsid w:val="00532F2D"/>
    <w:rsid w:val="0053372A"/>
    <w:rsid w:val="00534C02"/>
    <w:rsid w:val="005356E7"/>
    <w:rsid w:val="00535E71"/>
    <w:rsid w:val="00537453"/>
    <w:rsid w:val="00540FBA"/>
    <w:rsid w:val="0054264B"/>
    <w:rsid w:val="00543708"/>
    <w:rsid w:val="00543786"/>
    <w:rsid w:val="00544B69"/>
    <w:rsid w:val="0054542C"/>
    <w:rsid w:val="00546752"/>
    <w:rsid w:val="0055128A"/>
    <w:rsid w:val="005533D7"/>
    <w:rsid w:val="00557482"/>
    <w:rsid w:val="005619EB"/>
    <w:rsid w:val="005645CB"/>
    <w:rsid w:val="005703DE"/>
    <w:rsid w:val="00570D18"/>
    <w:rsid w:val="00582F46"/>
    <w:rsid w:val="00583CC0"/>
    <w:rsid w:val="0058464E"/>
    <w:rsid w:val="00585731"/>
    <w:rsid w:val="00585C0C"/>
    <w:rsid w:val="0058738A"/>
    <w:rsid w:val="00587E54"/>
    <w:rsid w:val="005A01CB"/>
    <w:rsid w:val="005A1D90"/>
    <w:rsid w:val="005A39A0"/>
    <w:rsid w:val="005A58FF"/>
    <w:rsid w:val="005A5EAF"/>
    <w:rsid w:val="005A64C0"/>
    <w:rsid w:val="005B00A9"/>
    <w:rsid w:val="005B1810"/>
    <w:rsid w:val="005B2789"/>
    <w:rsid w:val="005B3053"/>
    <w:rsid w:val="005B3437"/>
    <w:rsid w:val="005B3C11"/>
    <w:rsid w:val="005B48AA"/>
    <w:rsid w:val="005B4CD4"/>
    <w:rsid w:val="005B57AE"/>
    <w:rsid w:val="005C0A07"/>
    <w:rsid w:val="005C1C28"/>
    <w:rsid w:val="005C34DC"/>
    <w:rsid w:val="005C4189"/>
    <w:rsid w:val="005C57F8"/>
    <w:rsid w:val="005C6DB5"/>
    <w:rsid w:val="005D0EA4"/>
    <w:rsid w:val="005D28EB"/>
    <w:rsid w:val="005D5E60"/>
    <w:rsid w:val="005D5EC4"/>
    <w:rsid w:val="005D7317"/>
    <w:rsid w:val="005E19E7"/>
    <w:rsid w:val="005E721B"/>
    <w:rsid w:val="005E75C1"/>
    <w:rsid w:val="005E792D"/>
    <w:rsid w:val="005F3B9A"/>
    <w:rsid w:val="005F4760"/>
    <w:rsid w:val="005F492F"/>
    <w:rsid w:val="00604FDA"/>
    <w:rsid w:val="0060522B"/>
    <w:rsid w:val="00607763"/>
    <w:rsid w:val="00612921"/>
    <w:rsid w:val="006130B1"/>
    <w:rsid w:val="006160E1"/>
    <w:rsid w:val="0061716C"/>
    <w:rsid w:val="0062126D"/>
    <w:rsid w:val="006237DF"/>
    <w:rsid w:val="006243A1"/>
    <w:rsid w:val="0063017B"/>
    <w:rsid w:val="00632E56"/>
    <w:rsid w:val="00633918"/>
    <w:rsid w:val="00634C23"/>
    <w:rsid w:val="00635CBA"/>
    <w:rsid w:val="00637C50"/>
    <w:rsid w:val="006421E0"/>
    <w:rsid w:val="0064338B"/>
    <w:rsid w:val="00644A85"/>
    <w:rsid w:val="00645F34"/>
    <w:rsid w:val="00646542"/>
    <w:rsid w:val="006504F4"/>
    <w:rsid w:val="00650778"/>
    <w:rsid w:val="00651C3A"/>
    <w:rsid w:val="00654BC9"/>
    <w:rsid w:val="006552FD"/>
    <w:rsid w:val="006555BD"/>
    <w:rsid w:val="006561EF"/>
    <w:rsid w:val="00656569"/>
    <w:rsid w:val="00656C9F"/>
    <w:rsid w:val="00663418"/>
    <w:rsid w:val="00663AF3"/>
    <w:rsid w:val="00664F38"/>
    <w:rsid w:val="00666B6C"/>
    <w:rsid w:val="0066754A"/>
    <w:rsid w:val="006700ED"/>
    <w:rsid w:val="006708C0"/>
    <w:rsid w:val="00670A11"/>
    <w:rsid w:val="006713F1"/>
    <w:rsid w:val="00674CD7"/>
    <w:rsid w:val="00675BF4"/>
    <w:rsid w:val="006767C4"/>
    <w:rsid w:val="00680706"/>
    <w:rsid w:val="00682682"/>
    <w:rsid w:val="00682702"/>
    <w:rsid w:val="00683B50"/>
    <w:rsid w:val="006863FC"/>
    <w:rsid w:val="006868E0"/>
    <w:rsid w:val="0069058B"/>
    <w:rsid w:val="00692368"/>
    <w:rsid w:val="00692EA6"/>
    <w:rsid w:val="006970AA"/>
    <w:rsid w:val="006973E1"/>
    <w:rsid w:val="006A2EBC"/>
    <w:rsid w:val="006A3A3B"/>
    <w:rsid w:val="006A4A3B"/>
    <w:rsid w:val="006A5EA0"/>
    <w:rsid w:val="006A737B"/>
    <w:rsid w:val="006A783B"/>
    <w:rsid w:val="006A7B33"/>
    <w:rsid w:val="006B018E"/>
    <w:rsid w:val="006B1AEA"/>
    <w:rsid w:val="006B2EE1"/>
    <w:rsid w:val="006B4E13"/>
    <w:rsid w:val="006B60A5"/>
    <w:rsid w:val="006B689A"/>
    <w:rsid w:val="006B75DD"/>
    <w:rsid w:val="006C0612"/>
    <w:rsid w:val="006C1389"/>
    <w:rsid w:val="006C67E0"/>
    <w:rsid w:val="006C7738"/>
    <w:rsid w:val="006C7ABA"/>
    <w:rsid w:val="006C7BE6"/>
    <w:rsid w:val="006C7C31"/>
    <w:rsid w:val="006D0A1C"/>
    <w:rsid w:val="006D0D60"/>
    <w:rsid w:val="006D1122"/>
    <w:rsid w:val="006D25F0"/>
    <w:rsid w:val="006D3C00"/>
    <w:rsid w:val="006D67A4"/>
    <w:rsid w:val="006D7983"/>
    <w:rsid w:val="006E018E"/>
    <w:rsid w:val="006E0D9B"/>
    <w:rsid w:val="006E0DE1"/>
    <w:rsid w:val="006E1313"/>
    <w:rsid w:val="006E22AA"/>
    <w:rsid w:val="006E2A9A"/>
    <w:rsid w:val="006E3675"/>
    <w:rsid w:val="006E4A7F"/>
    <w:rsid w:val="006F445D"/>
    <w:rsid w:val="006F660F"/>
    <w:rsid w:val="006F7667"/>
    <w:rsid w:val="006F7910"/>
    <w:rsid w:val="0070196C"/>
    <w:rsid w:val="00702395"/>
    <w:rsid w:val="007026C7"/>
    <w:rsid w:val="0070461F"/>
    <w:rsid w:val="00704D07"/>
    <w:rsid w:val="00704DF6"/>
    <w:rsid w:val="007059AB"/>
    <w:rsid w:val="0070651C"/>
    <w:rsid w:val="00707786"/>
    <w:rsid w:val="00710CE6"/>
    <w:rsid w:val="007132A3"/>
    <w:rsid w:val="00714DF6"/>
    <w:rsid w:val="0071634E"/>
    <w:rsid w:val="00716421"/>
    <w:rsid w:val="00716895"/>
    <w:rsid w:val="00720E7F"/>
    <w:rsid w:val="0072298C"/>
    <w:rsid w:val="00722EC2"/>
    <w:rsid w:val="00723CBD"/>
    <w:rsid w:val="00723EBF"/>
    <w:rsid w:val="00724EFB"/>
    <w:rsid w:val="00730BAC"/>
    <w:rsid w:val="00732929"/>
    <w:rsid w:val="00732AFB"/>
    <w:rsid w:val="007419C3"/>
    <w:rsid w:val="00741F76"/>
    <w:rsid w:val="00744601"/>
    <w:rsid w:val="007452CB"/>
    <w:rsid w:val="007467A7"/>
    <w:rsid w:val="0074680B"/>
    <w:rsid w:val="007469DD"/>
    <w:rsid w:val="0074741B"/>
    <w:rsid w:val="0074759E"/>
    <w:rsid w:val="007478EA"/>
    <w:rsid w:val="00751851"/>
    <w:rsid w:val="0075415C"/>
    <w:rsid w:val="00757FFD"/>
    <w:rsid w:val="0076206B"/>
    <w:rsid w:val="00763502"/>
    <w:rsid w:val="00767D05"/>
    <w:rsid w:val="007700BC"/>
    <w:rsid w:val="00773E20"/>
    <w:rsid w:val="00780139"/>
    <w:rsid w:val="00781F2B"/>
    <w:rsid w:val="0078522E"/>
    <w:rsid w:val="007854F9"/>
    <w:rsid w:val="007913AB"/>
    <w:rsid w:val="007914F7"/>
    <w:rsid w:val="00793685"/>
    <w:rsid w:val="0079445E"/>
    <w:rsid w:val="007957F8"/>
    <w:rsid w:val="00797CDA"/>
    <w:rsid w:val="007A2B3F"/>
    <w:rsid w:val="007A4355"/>
    <w:rsid w:val="007A4A13"/>
    <w:rsid w:val="007A6F32"/>
    <w:rsid w:val="007B1625"/>
    <w:rsid w:val="007B1E13"/>
    <w:rsid w:val="007B5870"/>
    <w:rsid w:val="007B6022"/>
    <w:rsid w:val="007B706E"/>
    <w:rsid w:val="007B71EB"/>
    <w:rsid w:val="007C6205"/>
    <w:rsid w:val="007C686A"/>
    <w:rsid w:val="007C728E"/>
    <w:rsid w:val="007D036C"/>
    <w:rsid w:val="007D2C53"/>
    <w:rsid w:val="007D3D60"/>
    <w:rsid w:val="007D6F76"/>
    <w:rsid w:val="007D74D6"/>
    <w:rsid w:val="007E1606"/>
    <w:rsid w:val="007E1655"/>
    <w:rsid w:val="007E1980"/>
    <w:rsid w:val="007E287D"/>
    <w:rsid w:val="007E2E61"/>
    <w:rsid w:val="007E3109"/>
    <w:rsid w:val="007E4B76"/>
    <w:rsid w:val="007E5EA8"/>
    <w:rsid w:val="007E6620"/>
    <w:rsid w:val="007E6A80"/>
    <w:rsid w:val="007E75A9"/>
    <w:rsid w:val="007E79A9"/>
    <w:rsid w:val="007F0CF1"/>
    <w:rsid w:val="007F12A5"/>
    <w:rsid w:val="007F2BA5"/>
    <w:rsid w:val="007F4CF1"/>
    <w:rsid w:val="007F5A61"/>
    <w:rsid w:val="007F6B6E"/>
    <w:rsid w:val="007F758D"/>
    <w:rsid w:val="007F7D52"/>
    <w:rsid w:val="008015AA"/>
    <w:rsid w:val="00801E66"/>
    <w:rsid w:val="00803D52"/>
    <w:rsid w:val="00806246"/>
    <w:rsid w:val="0080654C"/>
    <w:rsid w:val="008071C6"/>
    <w:rsid w:val="008075C9"/>
    <w:rsid w:val="00810D91"/>
    <w:rsid w:val="00814F2B"/>
    <w:rsid w:val="00815730"/>
    <w:rsid w:val="00817A00"/>
    <w:rsid w:val="008214EA"/>
    <w:rsid w:val="00824E14"/>
    <w:rsid w:val="00827FC5"/>
    <w:rsid w:val="00831B06"/>
    <w:rsid w:val="00835DB3"/>
    <w:rsid w:val="0083617B"/>
    <w:rsid w:val="008371BD"/>
    <w:rsid w:val="0084370F"/>
    <w:rsid w:val="008473C9"/>
    <w:rsid w:val="00850479"/>
    <w:rsid w:val="008504A8"/>
    <w:rsid w:val="0085282E"/>
    <w:rsid w:val="00853D66"/>
    <w:rsid w:val="00853DCE"/>
    <w:rsid w:val="00857DD5"/>
    <w:rsid w:val="008623A6"/>
    <w:rsid w:val="00863917"/>
    <w:rsid w:val="008708CB"/>
    <w:rsid w:val="008711B8"/>
    <w:rsid w:val="00871983"/>
    <w:rsid w:val="0087198C"/>
    <w:rsid w:val="00872A5C"/>
    <w:rsid w:val="00872C1F"/>
    <w:rsid w:val="00873B42"/>
    <w:rsid w:val="0087435B"/>
    <w:rsid w:val="0088159D"/>
    <w:rsid w:val="00884719"/>
    <w:rsid w:val="00884995"/>
    <w:rsid w:val="008850EB"/>
    <w:rsid w:val="008856D8"/>
    <w:rsid w:val="00885CB6"/>
    <w:rsid w:val="00886158"/>
    <w:rsid w:val="00887187"/>
    <w:rsid w:val="00892E82"/>
    <w:rsid w:val="008A1B51"/>
    <w:rsid w:val="008A2141"/>
    <w:rsid w:val="008A21BA"/>
    <w:rsid w:val="008A557E"/>
    <w:rsid w:val="008A65DC"/>
    <w:rsid w:val="008A7E14"/>
    <w:rsid w:val="008B0429"/>
    <w:rsid w:val="008B45FA"/>
    <w:rsid w:val="008C0937"/>
    <w:rsid w:val="008C1B58"/>
    <w:rsid w:val="008C2488"/>
    <w:rsid w:val="008C33DE"/>
    <w:rsid w:val="008C39AE"/>
    <w:rsid w:val="008C3ACD"/>
    <w:rsid w:val="008C555F"/>
    <w:rsid w:val="008C590D"/>
    <w:rsid w:val="008C6933"/>
    <w:rsid w:val="008C6A37"/>
    <w:rsid w:val="008C7420"/>
    <w:rsid w:val="008D3652"/>
    <w:rsid w:val="008D4336"/>
    <w:rsid w:val="008D4934"/>
    <w:rsid w:val="008D5BF3"/>
    <w:rsid w:val="008D6022"/>
    <w:rsid w:val="008E031B"/>
    <w:rsid w:val="008E23E4"/>
    <w:rsid w:val="008E47D1"/>
    <w:rsid w:val="008E5548"/>
    <w:rsid w:val="008E7029"/>
    <w:rsid w:val="008E7EF6"/>
    <w:rsid w:val="008F00DC"/>
    <w:rsid w:val="008F0914"/>
    <w:rsid w:val="008F1F98"/>
    <w:rsid w:val="008F5E4A"/>
    <w:rsid w:val="008F6758"/>
    <w:rsid w:val="008F688A"/>
    <w:rsid w:val="00902494"/>
    <w:rsid w:val="009040DD"/>
    <w:rsid w:val="00905B47"/>
    <w:rsid w:val="00911376"/>
    <w:rsid w:val="00912B10"/>
    <w:rsid w:val="0091331C"/>
    <w:rsid w:val="00913575"/>
    <w:rsid w:val="00922743"/>
    <w:rsid w:val="00926235"/>
    <w:rsid w:val="00927954"/>
    <w:rsid w:val="009279DE"/>
    <w:rsid w:val="00930116"/>
    <w:rsid w:val="00930378"/>
    <w:rsid w:val="00931E1F"/>
    <w:rsid w:val="009330E5"/>
    <w:rsid w:val="00934545"/>
    <w:rsid w:val="00936EC6"/>
    <w:rsid w:val="00940B73"/>
    <w:rsid w:val="009412AE"/>
    <w:rsid w:val="0094212C"/>
    <w:rsid w:val="0094225F"/>
    <w:rsid w:val="009464B0"/>
    <w:rsid w:val="00946B0A"/>
    <w:rsid w:val="00946F68"/>
    <w:rsid w:val="0094765F"/>
    <w:rsid w:val="00952BB6"/>
    <w:rsid w:val="00952C37"/>
    <w:rsid w:val="00954689"/>
    <w:rsid w:val="00957252"/>
    <w:rsid w:val="009617C9"/>
    <w:rsid w:val="00961C93"/>
    <w:rsid w:val="00962A42"/>
    <w:rsid w:val="00964EA0"/>
    <w:rsid w:val="00965324"/>
    <w:rsid w:val="00965D30"/>
    <w:rsid w:val="009664C6"/>
    <w:rsid w:val="0097091E"/>
    <w:rsid w:val="00973696"/>
    <w:rsid w:val="00973FBB"/>
    <w:rsid w:val="009760D3"/>
    <w:rsid w:val="00977132"/>
    <w:rsid w:val="00981A4B"/>
    <w:rsid w:val="00982501"/>
    <w:rsid w:val="0098254A"/>
    <w:rsid w:val="009877D3"/>
    <w:rsid w:val="00990DD1"/>
    <w:rsid w:val="00990E37"/>
    <w:rsid w:val="0099149C"/>
    <w:rsid w:val="00992657"/>
    <w:rsid w:val="00992DFD"/>
    <w:rsid w:val="00994E8F"/>
    <w:rsid w:val="0099507F"/>
    <w:rsid w:val="009951DC"/>
    <w:rsid w:val="009959BB"/>
    <w:rsid w:val="00997158"/>
    <w:rsid w:val="009A0049"/>
    <w:rsid w:val="009A03FA"/>
    <w:rsid w:val="009A2071"/>
    <w:rsid w:val="009A3A7C"/>
    <w:rsid w:val="009A4EC4"/>
    <w:rsid w:val="009A5D1D"/>
    <w:rsid w:val="009A65C4"/>
    <w:rsid w:val="009A6931"/>
    <w:rsid w:val="009B0473"/>
    <w:rsid w:val="009B2ADB"/>
    <w:rsid w:val="009B336E"/>
    <w:rsid w:val="009B5B74"/>
    <w:rsid w:val="009B603A"/>
    <w:rsid w:val="009B6897"/>
    <w:rsid w:val="009C1586"/>
    <w:rsid w:val="009C2D0E"/>
    <w:rsid w:val="009C3825"/>
    <w:rsid w:val="009C3DAC"/>
    <w:rsid w:val="009C42E0"/>
    <w:rsid w:val="009C43BA"/>
    <w:rsid w:val="009C4DB1"/>
    <w:rsid w:val="009C7461"/>
    <w:rsid w:val="009D3D41"/>
    <w:rsid w:val="009D4932"/>
    <w:rsid w:val="009D5362"/>
    <w:rsid w:val="009D626A"/>
    <w:rsid w:val="009D73E6"/>
    <w:rsid w:val="009D7EF1"/>
    <w:rsid w:val="009E1415"/>
    <w:rsid w:val="009E6116"/>
    <w:rsid w:val="009E6796"/>
    <w:rsid w:val="009F19AC"/>
    <w:rsid w:val="009F3914"/>
    <w:rsid w:val="009F4583"/>
    <w:rsid w:val="009F5E93"/>
    <w:rsid w:val="009F64B8"/>
    <w:rsid w:val="00A005BC"/>
    <w:rsid w:val="00A02E43"/>
    <w:rsid w:val="00A05D34"/>
    <w:rsid w:val="00A065F9"/>
    <w:rsid w:val="00A07F34"/>
    <w:rsid w:val="00A1036D"/>
    <w:rsid w:val="00A10674"/>
    <w:rsid w:val="00A1173A"/>
    <w:rsid w:val="00A177EB"/>
    <w:rsid w:val="00A22059"/>
    <w:rsid w:val="00A22154"/>
    <w:rsid w:val="00A24C81"/>
    <w:rsid w:val="00A25C38"/>
    <w:rsid w:val="00A26412"/>
    <w:rsid w:val="00A27689"/>
    <w:rsid w:val="00A279F2"/>
    <w:rsid w:val="00A3221D"/>
    <w:rsid w:val="00A337DE"/>
    <w:rsid w:val="00A35E3B"/>
    <w:rsid w:val="00A36BBE"/>
    <w:rsid w:val="00A374E7"/>
    <w:rsid w:val="00A4219A"/>
    <w:rsid w:val="00A42478"/>
    <w:rsid w:val="00A42901"/>
    <w:rsid w:val="00A4307A"/>
    <w:rsid w:val="00A475E7"/>
    <w:rsid w:val="00A47D9B"/>
    <w:rsid w:val="00A47EBB"/>
    <w:rsid w:val="00A51CDD"/>
    <w:rsid w:val="00A53094"/>
    <w:rsid w:val="00A56D96"/>
    <w:rsid w:val="00A622E8"/>
    <w:rsid w:val="00A6730D"/>
    <w:rsid w:val="00A673AE"/>
    <w:rsid w:val="00A702F0"/>
    <w:rsid w:val="00A71625"/>
    <w:rsid w:val="00A71B9B"/>
    <w:rsid w:val="00A72249"/>
    <w:rsid w:val="00A72DF6"/>
    <w:rsid w:val="00A73EEA"/>
    <w:rsid w:val="00A751C7"/>
    <w:rsid w:val="00A75E1F"/>
    <w:rsid w:val="00A7693F"/>
    <w:rsid w:val="00A854F0"/>
    <w:rsid w:val="00A86945"/>
    <w:rsid w:val="00A87844"/>
    <w:rsid w:val="00A91A15"/>
    <w:rsid w:val="00A95794"/>
    <w:rsid w:val="00A95B57"/>
    <w:rsid w:val="00A96EED"/>
    <w:rsid w:val="00A9702F"/>
    <w:rsid w:val="00A97F98"/>
    <w:rsid w:val="00AA0327"/>
    <w:rsid w:val="00AA038C"/>
    <w:rsid w:val="00AA590A"/>
    <w:rsid w:val="00AA6C08"/>
    <w:rsid w:val="00AA74EB"/>
    <w:rsid w:val="00AA7A09"/>
    <w:rsid w:val="00AB062B"/>
    <w:rsid w:val="00AB14F3"/>
    <w:rsid w:val="00AB2562"/>
    <w:rsid w:val="00AB31E8"/>
    <w:rsid w:val="00AB3B50"/>
    <w:rsid w:val="00AB4D9A"/>
    <w:rsid w:val="00AC0386"/>
    <w:rsid w:val="00AC05B1"/>
    <w:rsid w:val="00AC1E61"/>
    <w:rsid w:val="00AC280B"/>
    <w:rsid w:val="00AC56F9"/>
    <w:rsid w:val="00AC7E8D"/>
    <w:rsid w:val="00AD099C"/>
    <w:rsid w:val="00AD0CCD"/>
    <w:rsid w:val="00AD356C"/>
    <w:rsid w:val="00AD4899"/>
    <w:rsid w:val="00AD4CA9"/>
    <w:rsid w:val="00AD5D12"/>
    <w:rsid w:val="00AD6821"/>
    <w:rsid w:val="00AD727F"/>
    <w:rsid w:val="00AE0D22"/>
    <w:rsid w:val="00AE27E5"/>
    <w:rsid w:val="00AE2914"/>
    <w:rsid w:val="00AE6D15"/>
    <w:rsid w:val="00AE7AAB"/>
    <w:rsid w:val="00AF21D4"/>
    <w:rsid w:val="00AF7BC7"/>
    <w:rsid w:val="00B0172B"/>
    <w:rsid w:val="00B02C8C"/>
    <w:rsid w:val="00B04182"/>
    <w:rsid w:val="00B04238"/>
    <w:rsid w:val="00B07AE3"/>
    <w:rsid w:val="00B11430"/>
    <w:rsid w:val="00B13326"/>
    <w:rsid w:val="00B14A0E"/>
    <w:rsid w:val="00B162CE"/>
    <w:rsid w:val="00B21F1F"/>
    <w:rsid w:val="00B30C3A"/>
    <w:rsid w:val="00B317A3"/>
    <w:rsid w:val="00B31EA7"/>
    <w:rsid w:val="00B322E2"/>
    <w:rsid w:val="00B32BCB"/>
    <w:rsid w:val="00B3490D"/>
    <w:rsid w:val="00B34F4E"/>
    <w:rsid w:val="00B353EB"/>
    <w:rsid w:val="00B439C4"/>
    <w:rsid w:val="00B4535E"/>
    <w:rsid w:val="00B469ED"/>
    <w:rsid w:val="00B4781C"/>
    <w:rsid w:val="00B505FF"/>
    <w:rsid w:val="00B51AB4"/>
    <w:rsid w:val="00B52A8C"/>
    <w:rsid w:val="00B56475"/>
    <w:rsid w:val="00B5669C"/>
    <w:rsid w:val="00B61AD3"/>
    <w:rsid w:val="00B62F98"/>
    <w:rsid w:val="00B636A8"/>
    <w:rsid w:val="00B665C6"/>
    <w:rsid w:val="00B7126C"/>
    <w:rsid w:val="00B74231"/>
    <w:rsid w:val="00B74685"/>
    <w:rsid w:val="00B76A4A"/>
    <w:rsid w:val="00B805AF"/>
    <w:rsid w:val="00B8622D"/>
    <w:rsid w:val="00B869EC"/>
    <w:rsid w:val="00B9397A"/>
    <w:rsid w:val="00B93A8E"/>
    <w:rsid w:val="00B949B9"/>
    <w:rsid w:val="00B9633D"/>
    <w:rsid w:val="00BA050B"/>
    <w:rsid w:val="00BA085B"/>
    <w:rsid w:val="00BA0AC8"/>
    <w:rsid w:val="00BA25B7"/>
    <w:rsid w:val="00BA2EBE"/>
    <w:rsid w:val="00BA43D0"/>
    <w:rsid w:val="00BB08D7"/>
    <w:rsid w:val="00BB0F28"/>
    <w:rsid w:val="00BB458A"/>
    <w:rsid w:val="00BB51AD"/>
    <w:rsid w:val="00BB603A"/>
    <w:rsid w:val="00BB65F7"/>
    <w:rsid w:val="00BB686D"/>
    <w:rsid w:val="00BB7D04"/>
    <w:rsid w:val="00BC1EC9"/>
    <w:rsid w:val="00BC4262"/>
    <w:rsid w:val="00BC6627"/>
    <w:rsid w:val="00BC6F1F"/>
    <w:rsid w:val="00BC7F9E"/>
    <w:rsid w:val="00BD00D3"/>
    <w:rsid w:val="00BD1659"/>
    <w:rsid w:val="00BD321B"/>
    <w:rsid w:val="00BD3246"/>
    <w:rsid w:val="00BD3AA9"/>
    <w:rsid w:val="00BD4A18"/>
    <w:rsid w:val="00BD6DB2"/>
    <w:rsid w:val="00BE08B9"/>
    <w:rsid w:val="00BE11CF"/>
    <w:rsid w:val="00BE1844"/>
    <w:rsid w:val="00BE21AB"/>
    <w:rsid w:val="00BE48AB"/>
    <w:rsid w:val="00BE55CB"/>
    <w:rsid w:val="00BE6068"/>
    <w:rsid w:val="00BF2551"/>
    <w:rsid w:val="00BF5A37"/>
    <w:rsid w:val="00BF617A"/>
    <w:rsid w:val="00BF61FB"/>
    <w:rsid w:val="00BF6786"/>
    <w:rsid w:val="00C0158C"/>
    <w:rsid w:val="00C01CA8"/>
    <w:rsid w:val="00C0379D"/>
    <w:rsid w:val="00C03931"/>
    <w:rsid w:val="00C041A4"/>
    <w:rsid w:val="00C04823"/>
    <w:rsid w:val="00C04D02"/>
    <w:rsid w:val="00C05FE3"/>
    <w:rsid w:val="00C06190"/>
    <w:rsid w:val="00C10FFE"/>
    <w:rsid w:val="00C1198D"/>
    <w:rsid w:val="00C12DD5"/>
    <w:rsid w:val="00C134BE"/>
    <w:rsid w:val="00C20EBE"/>
    <w:rsid w:val="00C2136D"/>
    <w:rsid w:val="00C2139A"/>
    <w:rsid w:val="00C214EE"/>
    <w:rsid w:val="00C215D6"/>
    <w:rsid w:val="00C2314B"/>
    <w:rsid w:val="00C244F0"/>
    <w:rsid w:val="00C24971"/>
    <w:rsid w:val="00C25B35"/>
    <w:rsid w:val="00C25B76"/>
    <w:rsid w:val="00C2608F"/>
    <w:rsid w:val="00C26459"/>
    <w:rsid w:val="00C26BE5"/>
    <w:rsid w:val="00C26E4D"/>
    <w:rsid w:val="00C27909"/>
    <w:rsid w:val="00C27B03"/>
    <w:rsid w:val="00C306F9"/>
    <w:rsid w:val="00C314E1"/>
    <w:rsid w:val="00C34397"/>
    <w:rsid w:val="00C4095D"/>
    <w:rsid w:val="00C42FCA"/>
    <w:rsid w:val="00C43DD3"/>
    <w:rsid w:val="00C46E22"/>
    <w:rsid w:val="00C52046"/>
    <w:rsid w:val="00C52DDB"/>
    <w:rsid w:val="00C53D90"/>
    <w:rsid w:val="00C56EA7"/>
    <w:rsid w:val="00C601D2"/>
    <w:rsid w:val="00C62C4E"/>
    <w:rsid w:val="00C64AE8"/>
    <w:rsid w:val="00C657AB"/>
    <w:rsid w:val="00C65BCC"/>
    <w:rsid w:val="00C66970"/>
    <w:rsid w:val="00C72EB1"/>
    <w:rsid w:val="00C73A91"/>
    <w:rsid w:val="00C74107"/>
    <w:rsid w:val="00C7428C"/>
    <w:rsid w:val="00C746BF"/>
    <w:rsid w:val="00C7560A"/>
    <w:rsid w:val="00C8691C"/>
    <w:rsid w:val="00C869B7"/>
    <w:rsid w:val="00C968F7"/>
    <w:rsid w:val="00CA168A"/>
    <w:rsid w:val="00CA1E4D"/>
    <w:rsid w:val="00CA2114"/>
    <w:rsid w:val="00CA2C6B"/>
    <w:rsid w:val="00CA357E"/>
    <w:rsid w:val="00CA44F9"/>
    <w:rsid w:val="00CA4A69"/>
    <w:rsid w:val="00CB7E28"/>
    <w:rsid w:val="00CC0D91"/>
    <w:rsid w:val="00CC3E0C"/>
    <w:rsid w:val="00CC58D3"/>
    <w:rsid w:val="00CC784D"/>
    <w:rsid w:val="00CC7E79"/>
    <w:rsid w:val="00CD473E"/>
    <w:rsid w:val="00CD4C7A"/>
    <w:rsid w:val="00CD5FFC"/>
    <w:rsid w:val="00CD7276"/>
    <w:rsid w:val="00CE4E58"/>
    <w:rsid w:val="00CE51D4"/>
    <w:rsid w:val="00CE55E6"/>
    <w:rsid w:val="00CE5DA8"/>
    <w:rsid w:val="00CE75B1"/>
    <w:rsid w:val="00CF07E6"/>
    <w:rsid w:val="00CF4C3E"/>
    <w:rsid w:val="00CF575E"/>
    <w:rsid w:val="00CF62EC"/>
    <w:rsid w:val="00D0292B"/>
    <w:rsid w:val="00D02951"/>
    <w:rsid w:val="00D02E5F"/>
    <w:rsid w:val="00D0337B"/>
    <w:rsid w:val="00D03F96"/>
    <w:rsid w:val="00D0622C"/>
    <w:rsid w:val="00D0797B"/>
    <w:rsid w:val="00D079B2"/>
    <w:rsid w:val="00D107B0"/>
    <w:rsid w:val="00D114E9"/>
    <w:rsid w:val="00D13872"/>
    <w:rsid w:val="00D218DD"/>
    <w:rsid w:val="00D26196"/>
    <w:rsid w:val="00D277C5"/>
    <w:rsid w:val="00D30846"/>
    <w:rsid w:val="00D3213E"/>
    <w:rsid w:val="00D3217E"/>
    <w:rsid w:val="00D3227A"/>
    <w:rsid w:val="00D33821"/>
    <w:rsid w:val="00D3597D"/>
    <w:rsid w:val="00D429C6"/>
    <w:rsid w:val="00D42BF2"/>
    <w:rsid w:val="00D42DEC"/>
    <w:rsid w:val="00D46BDD"/>
    <w:rsid w:val="00D47748"/>
    <w:rsid w:val="00D50421"/>
    <w:rsid w:val="00D51F1F"/>
    <w:rsid w:val="00D54CC3"/>
    <w:rsid w:val="00D5524D"/>
    <w:rsid w:val="00D6041A"/>
    <w:rsid w:val="00D62F54"/>
    <w:rsid w:val="00D633EB"/>
    <w:rsid w:val="00D70DA1"/>
    <w:rsid w:val="00D71714"/>
    <w:rsid w:val="00D77D45"/>
    <w:rsid w:val="00D809BC"/>
    <w:rsid w:val="00D8173B"/>
    <w:rsid w:val="00D82FF7"/>
    <w:rsid w:val="00D84592"/>
    <w:rsid w:val="00D847FE"/>
    <w:rsid w:val="00D9080F"/>
    <w:rsid w:val="00D92D23"/>
    <w:rsid w:val="00D94C39"/>
    <w:rsid w:val="00D95CA7"/>
    <w:rsid w:val="00D964EA"/>
    <w:rsid w:val="00D966D0"/>
    <w:rsid w:val="00D97231"/>
    <w:rsid w:val="00DA0C59"/>
    <w:rsid w:val="00DA1BE4"/>
    <w:rsid w:val="00DA202A"/>
    <w:rsid w:val="00DA3991"/>
    <w:rsid w:val="00DA6591"/>
    <w:rsid w:val="00DA7F3D"/>
    <w:rsid w:val="00DB0593"/>
    <w:rsid w:val="00DB0DDE"/>
    <w:rsid w:val="00DB0FAA"/>
    <w:rsid w:val="00DB1DDF"/>
    <w:rsid w:val="00DB271E"/>
    <w:rsid w:val="00DB45C7"/>
    <w:rsid w:val="00DB66B4"/>
    <w:rsid w:val="00DB69B8"/>
    <w:rsid w:val="00DB78F9"/>
    <w:rsid w:val="00DB7E6C"/>
    <w:rsid w:val="00DD0C3C"/>
    <w:rsid w:val="00DD18DD"/>
    <w:rsid w:val="00DD5A29"/>
    <w:rsid w:val="00DD5D9D"/>
    <w:rsid w:val="00DE104E"/>
    <w:rsid w:val="00DE3516"/>
    <w:rsid w:val="00DE35CB"/>
    <w:rsid w:val="00DE396A"/>
    <w:rsid w:val="00DE4653"/>
    <w:rsid w:val="00DE6CF9"/>
    <w:rsid w:val="00DE76A5"/>
    <w:rsid w:val="00DF21E9"/>
    <w:rsid w:val="00DF3DB3"/>
    <w:rsid w:val="00DF6701"/>
    <w:rsid w:val="00E00F14"/>
    <w:rsid w:val="00E029E1"/>
    <w:rsid w:val="00E03DFE"/>
    <w:rsid w:val="00E05E81"/>
    <w:rsid w:val="00E06386"/>
    <w:rsid w:val="00E07430"/>
    <w:rsid w:val="00E10DB0"/>
    <w:rsid w:val="00E11549"/>
    <w:rsid w:val="00E12429"/>
    <w:rsid w:val="00E21D7D"/>
    <w:rsid w:val="00E22E13"/>
    <w:rsid w:val="00E24161"/>
    <w:rsid w:val="00E24EB4"/>
    <w:rsid w:val="00E26062"/>
    <w:rsid w:val="00E320ED"/>
    <w:rsid w:val="00E3381A"/>
    <w:rsid w:val="00E33AFB"/>
    <w:rsid w:val="00E34218"/>
    <w:rsid w:val="00E45084"/>
    <w:rsid w:val="00E45A7F"/>
    <w:rsid w:val="00E46282"/>
    <w:rsid w:val="00E46D7A"/>
    <w:rsid w:val="00E5216E"/>
    <w:rsid w:val="00E5381D"/>
    <w:rsid w:val="00E544CA"/>
    <w:rsid w:val="00E54E30"/>
    <w:rsid w:val="00E56093"/>
    <w:rsid w:val="00E60992"/>
    <w:rsid w:val="00E60F07"/>
    <w:rsid w:val="00E62D5E"/>
    <w:rsid w:val="00E650D5"/>
    <w:rsid w:val="00E70158"/>
    <w:rsid w:val="00E72D93"/>
    <w:rsid w:val="00E74C3E"/>
    <w:rsid w:val="00E7755C"/>
    <w:rsid w:val="00E77C51"/>
    <w:rsid w:val="00E82344"/>
    <w:rsid w:val="00E82DD6"/>
    <w:rsid w:val="00E84A07"/>
    <w:rsid w:val="00E84C82"/>
    <w:rsid w:val="00E84D64"/>
    <w:rsid w:val="00E8687B"/>
    <w:rsid w:val="00E86AD9"/>
    <w:rsid w:val="00E87408"/>
    <w:rsid w:val="00E90103"/>
    <w:rsid w:val="00E91402"/>
    <w:rsid w:val="00E914C4"/>
    <w:rsid w:val="00E9261E"/>
    <w:rsid w:val="00E934F5"/>
    <w:rsid w:val="00E94936"/>
    <w:rsid w:val="00E965FD"/>
    <w:rsid w:val="00E96961"/>
    <w:rsid w:val="00EA32CA"/>
    <w:rsid w:val="00EA4ADB"/>
    <w:rsid w:val="00EA582E"/>
    <w:rsid w:val="00EA72EC"/>
    <w:rsid w:val="00EA7383"/>
    <w:rsid w:val="00EB0C08"/>
    <w:rsid w:val="00EB0C43"/>
    <w:rsid w:val="00EB11CB"/>
    <w:rsid w:val="00EB275A"/>
    <w:rsid w:val="00EB7107"/>
    <w:rsid w:val="00EB717A"/>
    <w:rsid w:val="00EB786A"/>
    <w:rsid w:val="00EC1578"/>
    <w:rsid w:val="00EC1C72"/>
    <w:rsid w:val="00EC3885"/>
    <w:rsid w:val="00EC3CC9"/>
    <w:rsid w:val="00EC4010"/>
    <w:rsid w:val="00EC600F"/>
    <w:rsid w:val="00EC680A"/>
    <w:rsid w:val="00EC692F"/>
    <w:rsid w:val="00EC7342"/>
    <w:rsid w:val="00EC75E7"/>
    <w:rsid w:val="00EC789A"/>
    <w:rsid w:val="00EC7F00"/>
    <w:rsid w:val="00ED03FD"/>
    <w:rsid w:val="00ED0A26"/>
    <w:rsid w:val="00ED6D65"/>
    <w:rsid w:val="00EE142F"/>
    <w:rsid w:val="00EE1A6A"/>
    <w:rsid w:val="00EE1DCA"/>
    <w:rsid w:val="00EE234A"/>
    <w:rsid w:val="00EE2BE1"/>
    <w:rsid w:val="00EE2BED"/>
    <w:rsid w:val="00EE374B"/>
    <w:rsid w:val="00EE6C29"/>
    <w:rsid w:val="00EF3B18"/>
    <w:rsid w:val="00EF4836"/>
    <w:rsid w:val="00EF4849"/>
    <w:rsid w:val="00EF6334"/>
    <w:rsid w:val="00EF6E75"/>
    <w:rsid w:val="00EF75B4"/>
    <w:rsid w:val="00F014E1"/>
    <w:rsid w:val="00F01E79"/>
    <w:rsid w:val="00F02E36"/>
    <w:rsid w:val="00F05B6D"/>
    <w:rsid w:val="00F10755"/>
    <w:rsid w:val="00F10E88"/>
    <w:rsid w:val="00F11BB5"/>
    <w:rsid w:val="00F127C9"/>
    <w:rsid w:val="00F1417B"/>
    <w:rsid w:val="00F1659D"/>
    <w:rsid w:val="00F17858"/>
    <w:rsid w:val="00F22E1D"/>
    <w:rsid w:val="00F231C2"/>
    <w:rsid w:val="00F25A12"/>
    <w:rsid w:val="00F25FF4"/>
    <w:rsid w:val="00F27CA2"/>
    <w:rsid w:val="00F27CAA"/>
    <w:rsid w:val="00F345F9"/>
    <w:rsid w:val="00F34B99"/>
    <w:rsid w:val="00F35B60"/>
    <w:rsid w:val="00F41E53"/>
    <w:rsid w:val="00F42F97"/>
    <w:rsid w:val="00F46838"/>
    <w:rsid w:val="00F5262C"/>
    <w:rsid w:val="00F52DAB"/>
    <w:rsid w:val="00F543F0"/>
    <w:rsid w:val="00F56509"/>
    <w:rsid w:val="00F61473"/>
    <w:rsid w:val="00F65C77"/>
    <w:rsid w:val="00F6780B"/>
    <w:rsid w:val="00F67D80"/>
    <w:rsid w:val="00F71D0F"/>
    <w:rsid w:val="00F7358A"/>
    <w:rsid w:val="00F81AEF"/>
    <w:rsid w:val="00F81AF6"/>
    <w:rsid w:val="00F81D29"/>
    <w:rsid w:val="00F830A8"/>
    <w:rsid w:val="00F84A2D"/>
    <w:rsid w:val="00F86BA3"/>
    <w:rsid w:val="00F879C9"/>
    <w:rsid w:val="00F902D3"/>
    <w:rsid w:val="00F903B5"/>
    <w:rsid w:val="00F90D91"/>
    <w:rsid w:val="00F91C4D"/>
    <w:rsid w:val="00F92FD9"/>
    <w:rsid w:val="00F93671"/>
    <w:rsid w:val="00F9396D"/>
    <w:rsid w:val="00F9401E"/>
    <w:rsid w:val="00F94034"/>
    <w:rsid w:val="00FA1C5B"/>
    <w:rsid w:val="00FA6684"/>
    <w:rsid w:val="00FA731E"/>
    <w:rsid w:val="00FB0F44"/>
    <w:rsid w:val="00FB2B38"/>
    <w:rsid w:val="00FB35CE"/>
    <w:rsid w:val="00FB6470"/>
    <w:rsid w:val="00FC0670"/>
    <w:rsid w:val="00FC1794"/>
    <w:rsid w:val="00FC473E"/>
    <w:rsid w:val="00FC55A5"/>
    <w:rsid w:val="00FC6358"/>
    <w:rsid w:val="00FD0FCF"/>
    <w:rsid w:val="00FD11BE"/>
    <w:rsid w:val="00FD320D"/>
    <w:rsid w:val="00FD7339"/>
    <w:rsid w:val="00FD7355"/>
    <w:rsid w:val="00FD778A"/>
    <w:rsid w:val="00FE23DE"/>
    <w:rsid w:val="00FE3BDF"/>
    <w:rsid w:val="00FE5D72"/>
    <w:rsid w:val="00FE6127"/>
    <w:rsid w:val="00FF02DB"/>
    <w:rsid w:val="00FF37AA"/>
    <w:rsid w:val="00FF60AD"/>
    <w:rsid w:val="00FF65A1"/>
    <w:rsid w:val="14636715"/>
    <w:rsid w:val="54150D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unhideWhenUsed="0" w:uiPriority="39" w:semiHidden="0" w:name="toc 6"/>
    <w:lsdException w:unhideWhenUsed="0" w:uiPriority="39" w:semiHidden="0" w:name="toc 7"/>
    <w:lsdException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name="endnote reference"/>
    <w:lsdException w:unhideWhenUsed="0" w:uiPriority="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paragraph" w:styleId="4">
    <w:name w:val="heading 1"/>
    <w:basedOn w:val="1"/>
    <w:next w:val="1"/>
    <w:link w:val="258"/>
    <w:qFormat/>
    <w:uiPriority w:val="0"/>
    <w:pPr>
      <w:keepNext/>
      <w:keepLines/>
      <w:widowControl w:val="0"/>
      <w:spacing w:before="340" w:after="330" w:line="578" w:lineRule="auto"/>
      <w:jc w:val="both"/>
      <w:outlineLvl w:val="0"/>
    </w:pPr>
    <w:rPr>
      <w:rFonts w:ascii="Times New Roman" w:hAnsi="Times New Roman" w:cs="Times New Roman"/>
      <w:b/>
      <w:bCs/>
      <w:kern w:val="44"/>
      <w:sz w:val="44"/>
      <w:szCs w:val="44"/>
    </w:rPr>
  </w:style>
  <w:style w:type="paragraph" w:styleId="5">
    <w:name w:val="heading 2"/>
    <w:basedOn w:val="1"/>
    <w:next w:val="6"/>
    <w:link w:val="260"/>
    <w:qFormat/>
    <w:uiPriority w:val="0"/>
    <w:pPr>
      <w:keepNext/>
      <w:keepLines/>
      <w:widowControl w:val="0"/>
      <w:spacing w:beforeLines="50" w:afterLines="50"/>
      <w:outlineLvl w:val="1"/>
    </w:pPr>
    <w:rPr>
      <w:rFonts w:ascii="Arial" w:hAnsi="Arial" w:eastAsia="黑体" w:cs="Arial"/>
      <w:b/>
      <w:bCs/>
      <w:kern w:val="2"/>
      <w:szCs w:val="32"/>
    </w:rPr>
  </w:style>
  <w:style w:type="paragraph" w:styleId="7">
    <w:name w:val="heading 3"/>
    <w:basedOn w:val="1"/>
    <w:next w:val="6"/>
    <w:link w:val="261"/>
    <w:qFormat/>
    <w:uiPriority w:val="0"/>
    <w:pPr>
      <w:keepNext/>
      <w:keepLines/>
      <w:widowControl w:val="0"/>
      <w:ind w:firstLine="200" w:firstLineChars="200"/>
      <w:outlineLvl w:val="2"/>
    </w:pPr>
    <w:rPr>
      <w:rFonts w:ascii="Times New Roman" w:hAnsi="Times New Roman" w:cs="Times New Roman"/>
      <w:b/>
      <w:bCs/>
      <w:kern w:val="2"/>
      <w:sz w:val="21"/>
      <w:szCs w:val="32"/>
    </w:rPr>
  </w:style>
  <w:style w:type="paragraph" w:styleId="8">
    <w:name w:val="heading 4"/>
    <w:basedOn w:val="1"/>
    <w:next w:val="6"/>
    <w:link w:val="262"/>
    <w:qFormat/>
    <w:uiPriority w:val="0"/>
    <w:pPr>
      <w:keepNext/>
      <w:keepLines/>
      <w:widowControl w:val="0"/>
      <w:spacing w:before="280" w:after="290" w:line="376" w:lineRule="auto"/>
      <w:jc w:val="both"/>
      <w:outlineLvl w:val="3"/>
    </w:pPr>
    <w:rPr>
      <w:rFonts w:ascii="黑体" w:hAnsi="Arial" w:eastAsia="黑体" w:cs="Times New Roman"/>
      <w:b/>
      <w:bCs/>
      <w:kern w:val="2"/>
      <w:sz w:val="21"/>
      <w:szCs w:val="28"/>
    </w:rPr>
  </w:style>
  <w:style w:type="paragraph" w:styleId="9">
    <w:name w:val="heading 5"/>
    <w:basedOn w:val="1"/>
    <w:next w:val="1"/>
    <w:link w:val="263"/>
    <w:qFormat/>
    <w:uiPriority w:val="0"/>
    <w:pPr>
      <w:keepNext/>
      <w:keepLines/>
      <w:widowControl w:val="0"/>
      <w:tabs>
        <w:tab w:val="left" w:pos="1008"/>
      </w:tabs>
      <w:spacing w:before="280" w:after="290" w:line="376" w:lineRule="auto"/>
      <w:ind w:left="1008" w:hanging="1008"/>
      <w:jc w:val="both"/>
      <w:outlineLvl w:val="4"/>
    </w:pPr>
    <w:rPr>
      <w:rFonts w:ascii="Times New Roman" w:hAnsi="Times New Roman" w:cs="Times New Roman"/>
      <w:b/>
      <w:bCs/>
      <w:kern w:val="2"/>
      <w:sz w:val="28"/>
      <w:szCs w:val="28"/>
    </w:rPr>
  </w:style>
  <w:style w:type="paragraph" w:styleId="10">
    <w:name w:val="heading 6"/>
    <w:basedOn w:val="1"/>
    <w:next w:val="1"/>
    <w:link w:val="264"/>
    <w:qFormat/>
    <w:uiPriority w:val="0"/>
    <w:pPr>
      <w:keepNext/>
      <w:keepLines/>
      <w:widowControl w:val="0"/>
      <w:tabs>
        <w:tab w:val="left" w:pos="1152"/>
      </w:tabs>
      <w:spacing w:before="240" w:after="64" w:line="320" w:lineRule="auto"/>
      <w:ind w:left="1152" w:hanging="1152"/>
      <w:jc w:val="both"/>
      <w:outlineLvl w:val="5"/>
    </w:pPr>
    <w:rPr>
      <w:rFonts w:ascii="Arial" w:hAnsi="Arial" w:eastAsia="黑体" w:cs="Times New Roman"/>
      <w:b/>
      <w:bCs/>
      <w:kern w:val="2"/>
    </w:rPr>
  </w:style>
  <w:style w:type="paragraph" w:styleId="11">
    <w:name w:val="heading 7"/>
    <w:basedOn w:val="1"/>
    <w:next w:val="1"/>
    <w:link w:val="265"/>
    <w:qFormat/>
    <w:uiPriority w:val="0"/>
    <w:pPr>
      <w:keepNext/>
      <w:keepLines/>
      <w:widowControl w:val="0"/>
      <w:tabs>
        <w:tab w:val="left" w:pos="1296"/>
      </w:tabs>
      <w:spacing w:before="240" w:after="64" w:line="320" w:lineRule="auto"/>
      <w:ind w:left="1296" w:hanging="1296"/>
      <w:jc w:val="both"/>
      <w:outlineLvl w:val="6"/>
    </w:pPr>
    <w:rPr>
      <w:rFonts w:ascii="Times New Roman" w:hAnsi="Times New Roman" w:cs="Times New Roman"/>
      <w:b/>
      <w:bCs/>
      <w:kern w:val="2"/>
    </w:rPr>
  </w:style>
  <w:style w:type="paragraph" w:styleId="12">
    <w:name w:val="heading 8"/>
    <w:basedOn w:val="1"/>
    <w:next w:val="1"/>
    <w:link w:val="266"/>
    <w:qFormat/>
    <w:uiPriority w:val="0"/>
    <w:pPr>
      <w:keepNext/>
      <w:keepLines/>
      <w:widowControl w:val="0"/>
      <w:tabs>
        <w:tab w:val="left" w:pos="1440"/>
      </w:tabs>
      <w:spacing w:before="240" w:after="64" w:line="320" w:lineRule="auto"/>
      <w:ind w:left="1440" w:hanging="1440"/>
      <w:jc w:val="both"/>
      <w:outlineLvl w:val="7"/>
    </w:pPr>
    <w:rPr>
      <w:rFonts w:ascii="Arial" w:hAnsi="Arial" w:eastAsia="黑体" w:cs="Times New Roman"/>
      <w:kern w:val="2"/>
    </w:rPr>
  </w:style>
  <w:style w:type="paragraph" w:styleId="13">
    <w:name w:val="heading 9"/>
    <w:basedOn w:val="1"/>
    <w:next w:val="1"/>
    <w:link w:val="267"/>
    <w:qFormat/>
    <w:uiPriority w:val="0"/>
    <w:pPr>
      <w:keepNext/>
      <w:keepLines/>
      <w:widowControl w:val="0"/>
      <w:tabs>
        <w:tab w:val="left" w:pos="1584"/>
      </w:tabs>
      <w:spacing w:before="240" w:after="64" w:line="320" w:lineRule="auto"/>
      <w:ind w:left="1584" w:hanging="1584"/>
      <w:jc w:val="both"/>
      <w:outlineLvl w:val="8"/>
    </w:pPr>
    <w:rPr>
      <w:rFonts w:ascii="Arial" w:hAnsi="Arial" w:eastAsia="黑体" w:cs="Times New Roman"/>
      <w:kern w:val="2"/>
      <w:sz w:val="21"/>
      <w:szCs w:val="21"/>
    </w:rPr>
  </w:style>
  <w:style w:type="character" w:default="1" w:styleId="58">
    <w:name w:val="Default Paragraph Font"/>
    <w:semiHidden/>
    <w:unhideWhenUsed/>
    <w:uiPriority w:val="1"/>
  </w:style>
  <w:style w:type="table" w:default="1" w:styleId="56">
    <w:name w:val="Normal Table"/>
    <w:semiHidden/>
    <w:unhideWhenUsed/>
    <w:uiPriority w:val="99"/>
    <w:tblPr>
      <w:tblCellMar>
        <w:top w:w="0" w:type="dxa"/>
        <w:left w:w="108" w:type="dxa"/>
        <w:bottom w:w="0" w:type="dxa"/>
        <w:right w:w="108" w:type="dxa"/>
      </w:tblCellMar>
    </w:tblPr>
  </w:style>
  <w:style w:type="paragraph" w:styleId="2">
    <w:name w:val="macro"/>
    <w:basedOn w:val="3"/>
    <w:next w:val="3"/>
    <w:link w:val="304"/>
    <w:uiPriority w:val="0"/>
    <w:rPr>
      <w:rFonts w:ascii="IOAPJP+TimesNewRoman" w:hAnsi="Times New Roman" w:eastAsia="IOAPJP+TimesNewRoman" w:cs="IOAPJP+TimesNewRoman"/>
      <w:color w:val="auto"/>
    </w:rPr>
  </w:style>
  <w:style w:type="paragraph" w:customStyle="1" w:styleId="3">
    <w:name w:val="Default"/>
    <w:link w:val="302"/>
    <w:qFormat/>
    <w:uiPriority w:val="0"/>
    <w:pPr>
      <w:widowControl w:val="0"/>
      <w:autoSpaceDE w:val="0"/>
      <w:autoSpaceDN w:val="0"/>
      <w:adjustRightInd w:val="0"/>
    </w:pPr>
    <w:rPr>
      <w:rFonts w:ascii="Tahoma" w:hAnsi="Tahoma" w:eastAsia="宋体" w:cs="Tahoma"/>
      <w:color w:val="000000"/>
      <w:sz w:val="24"/>
      <w:szCs w:val="24"/>
      <w:lang w:val="en-US" w:eastAsia="zh-CN" w:bidi="ar-SA"/>
    </w:rPr>
  </w:style>
  <w:style w:type="paragraph" w:styleId="6">
    <w:name w:val="Normal Indent"/>
    <w:basedOn w:val="1"/>
    <w:qFormat/>
    <w:uiPriority w:val="0"/>
    <w:pPr>
      <w:widowControl w:val="0"/>
      <w:ind w:firstLine="420" w:firstLineChars="200"/>
      <w:jc w:val="both"/>
    </w:pPr>
    <w:rPr>
      <w:rFonts w:ascii="Times New Roman" w:hAnsi="Times New Roman" w:cs="Times New Roman"/>
      <w:kern w:val="2"/>
      <w:sz w:val="21"/>
    </w:rPr>
  </w:style>
  <w:style w:type="paragraph" w:styleId="14">
    <w:name w:val="toc 7"/>
    <w:basedOn w:val="1"/>
    <w:next w:val="1"/>
    <w:uiPriority w:val="39"/>
    <w:pPr>
      <w:widowControl w:val="0"/>
      <w:tabs>
        <w:tab w:val="right" w:leader="dot" w:pos="9241"/>
      </w:tabs>
      <w:ind w:firstLine="505" w:firstLineChars="500"/>
    </w:pPr>
    <w:rPr>
      <w:rFonts w:hAnsi="Times New Roman" w:cs="Times New Roman"/>
      <w:kern w:val="2"/>
      <w:sz w:val="21"/>
      <w:szCs w:val="21"/>
    </w:rPr>
  </w:style>
  <w:style w:type="paragraph" w:styleId="15">
    <w:name w:val="Note Heading"/>
    <w:basedOn w:val="3"/>
    <w:next w:val="3"/>
    <w:link w:val="305"/>
    <w:uiPriority w:val="0"/>
    <w:rPr>
      <w:rFonts w:ascii="IOAPJP+TimesNewRoman" w:hAnsi="Times New Roman" w:eastAsia="IOAPJP+TimesNewRoman" w:cs="IOAPJP+TimesNewRoman"/>
      <w:color w:val="auto"/>
    </w:rPr>
  </w:style>
  <w:style w:type="paragraph" w:styleId="16">
    <w:name w:val="index 8"/>
    <w:basedOn w:val="1"/>
    <w:next w:val="1"/>
    <w:uiPriority w:val="0"/>
    <w:pPr>
      <w:widowControl w:val="0"/>
      <w:ind w:left="1680" w:hanging="210"/>
    </w:pPr>
    <w:rPr>
      <w:rFonts w:ascii="Calibri" w:hAnsi="Calibri" w:cs="Times New Roman"/>
      <w:kern w:val="2"/>
      <w:sz w:val="20"/>
      <w:szCs w:val="20"/>
    </w:rPr>
  </w:style>
  <w:style w:type="paragraph" w:styleId="17">
    <w:name w:val="caption"/>
    <w:basedOn w:val="1"/>
    <w:next w:val="1"/>
    <w:qFormat/>
    <w:uiPriority w:val="0"/>
    <w:pPr>
      <w:widowControl w:val="0"/>
      <w:spacing w:before="152" w:after="160"/>
      <w:jc w:val="both"/>
    </w:pPr>
    <w:rPr>
      <w:rFonts w:ascii="Arial" w:hAnsi="Arial" w:eastAsia="黑体" w:cs="Arial"/>
      <w:kern w:val="2"/>
      <w:sz w:val="20"/>
      <w:szCs w:val="20"/>
    </w:rPr>
  </w:style>
  <w:style w:type="paragraph" w:styleId="18">
    <w:name w:val="index 5"/>
    <w:basedOn w:val="1"/>
    <w:next w:val="1"/>
    <w:uiPriority w:val="0"/>
    <w:pPr>
      <w:widowControl w:val="0"/>
      <w:ind w:left="1050" w:hanging="210"/>
    </w:pPr>
    <w:rPr>
      <w:rFonts w:ascii="Calibri" w:hAnsi="Calibri" w:cs="Times New Roman"/>
      <w:kern w:val="2"/>
      <w:sz w:val="20"/>
      <w:szCs w:val="20"/>
    </w:rPr>
  </w:style>
  <w:style w:type="paragraph" w:styleId="19">
    <w:name w:val="Document Map"/>
    <w:basedOn w:val="1"/>
    <w:semiHidden/>
    <w:qFormat/>
    <w:uiPriority w:val="0"/>
    <w:pPr>
      <w:widowControl w:val="0"/>
      <w:shd w:val="clear" w:color="auto" w:fill="000080"/>
      <w:jc w:val="both"/>
    </w:pPr>
    <w:rPr>
      <w:rFonts w:ascii="Times New Roman" w:hAnsi="Times New Roman" w:cs="Times New Roman"/>
      <w:kern w:val="2"/>
      <w:sz w:val="21"/>
    </w:rPr>
  </w:style>
  <w:style w:type="paragraph" w:styleId="20">
    <w:name w:val="annotation text"/>
    <w:basedOn w:val="1"/>
    <w:link w:val="254"/>
    <w:uiPriority w:val="99"/>
    <w:pPr>
      <w:widowControl w:val="0"/>
      <w:numPr>
        <w:ilvl w:val="3"/>
        <w:numId w:val="1"/>
      </w:numPr>
      <w:ind w:left="0" w:firstLine="0"/>
    </w:pPr>
    <w:rPr>
      <w:rFonts w:ascii="Times New Roman" w:hAnsi="Times New Roman" w:cs="Times New Roman"/>
      <w:kern w:val="2"/>
      <w:sz w:val="21"/>
    </w:rPr>
  </w:style>
  <w:style w:type="paragraph" w:styleId="21">
    <w:name w:val="index 6"/>
    <w:basedOn w:val="1"/>
    <w:next w:val="1"/>
    <w:uiPriority w:val="0"/>
    <w:pPr>
      <w:widowControl w:val="0"/>
      <w:ind w:left="1260" w:hanging="210"/>
    </w:pPr>
    <w:rPr>
      <w:rFonts w:ascii="Calibri" w:hAnsi="Calibri" w:cs="Times New Roman"/>
      <w:kern w:val="2"/>
      <w:sz w:val="20"/>
      <w:szCs w:val="20"/>
    </w:rPr>
  </w:style>
  <w:style w:type="paragraph" w:styleId="22">
    <w:name w:val="Salutation"/>
    <w:basedOn w:val="3"/>
    <w:next w:val="3"/>
    <w:link w:val="306"/>
    <w:uiPriority w:val="0"/>
    <w:rPr>
      <w:rFonts w:ascii="IOAPJP+TimesNewRoman" w:hAnsi="Times New Roman" w:eastAsia="IOAPJP+TimesNewRoman" w:cs="IOAPJP+TimesNewRoman"/>
      <w:color w:val="auto"/>
    </w:rPr>
  </w:style>
  <w:style w:type="paragraph" w:styleId="23">
    <w:name w:val="Body Text"/>
    <w:basedOn w:val="1"/>
    <w:link w:val="273"/>
    <w:uiPriority w:val="0"/>
    <w:pPr>
      <w:widowControl w:val="0"/>
      <w:spacing w:after="120"/>
      <w:jc w:val="both"/>
    </w:pPr>
    <w:rPr>
      <w:rFonts w:hAnsi="Times New Roman" w:cs="Times New Roman"/>
      <w:kern w:val="2"/>
    </w:rPr>
  </w:style>
  <w:style w:type="paragraph" w:styleId="24">
    <w:name w:val="Body Text Indent"/>
    <w:basedOn w:val="1"/>
    <w:link w:val="275"/>
    <w:qFormat/>
    <w:uiPriority w:val="0"/>
    <w:pPr>
      <w:widowControl w:val="0"/>
      <w:ind w:firstLine="420" w:firstLineChars="200"/>
      <w:jc w:val="both"/>
    </w:pPr>
    <w:rPr>
      <w:rFonts w:ascii="Times New Roman" w:hAnsi="Times New Roman" w:cs="Times New Roman"/>
      <w:kern w:val="2"/>
      <w:sz w:val="21"/>
    </w:rPr>
  </w:style>
  <w:style w:type="paragraph" w:styleId="25">
    <w:name w:val="HTML Address"/>
    <w:basedOn w:val="1"/>
    <w:link w:val="269"/>
    <w:uiPriority w:val="0"/>
    <w:pPr>
      <w:widowControl w:val="0"/>
      <w:jc w:val="both"/>
    </w:pPr>
    <w:rPr>
      <w:rFonts w:ascii="Times New Roman" w:hAnsi="Times New Roman" w:cs="Times New Roman"/>
      <w:i/>
      <w:iCs/>
      <w:kern w:val="2"/>
      <w:sz w:val="21"/>
    </w:rPr>
  </w:style>
  <w:style w:type="paragraph" w:styleId="26">
    <w:name w:val="index 4"/>
    <w:basedOn w:val="1"/>
    <w:next w:val="1"/>
    <w:qFormat/>
    <w:uiPriority w:val="0"/>
    <w:pPr>
      <w:widowControl w:val="0"/>
      <w:ind w:left="840" w:hanging="210"/>
    </w:pPr>
    <w:rPr>
      <w:rFonts w:ascii="Calibri" w:hAnsi="Calibri" w:cs="Times New Roman"/>
      <w:kern w:val="2"/>
      <w:sz w:val="20"/>
      <w:szCs w:val="20"/>
    </w:rPr>
  </w:style>
  <w:style w:type="paragraph" w:styleId="27">
    <w:name w:val="toc 5"/>
    <w:basedOn w:val="1"/>
    <w:next w:val="1"/>
    <w:qFormat/>
    <w:uiPriority w:val="39"/>
    <w:pPr>
      <w:widowControl w:val="0"/>
      <w:tabs>
        <w:tab w:val="right" w:leader="dot" w:pos="9241"/>
      </w:tabs>
      <w:ind w:firstLine="300" w:firstLineChars="300"/>
    </w:pPr>
    <w:rPr>
      <w:rFonts w:hAnsi="Times New Roman" w:cs="Times New Roman"/>
      <w:kern w:val="2"/>
      <w:sz w:val="21"/>
      <w:szCs w:val="21"/>
    </w:rPr>
  </w:style>
  <w:style w:type="paragraph" w:styleId="28">
    <w:name w:val="toc 3"/>
    <w:basedOn w:val="1"/>
    <w:next w:val="1"/>
    <w:qFormat/>
    <w:uiPriority w:val="39"/>
    <w:pPr>
      <w:widowControl w:val="0"/>
      <w:tabs>
        <w:tab w:val="right" w:leader="dot" w:pos="9241"/>
      </w:tabs>
      <w:ind w:firstLine="102" w:firstLineChars="100"/>
    </w:pPr>
    <w:rPr>
      <w:rFonts w:hAnsi="Times New Roman" w:cs="Times New Roman"/>
      <w:kern w:val="2"/>
      <w:sz w:val="21"/>
      <w:szCs w:val="21"/>
    </w:rPr>
  </w:style>
  <w:style w:type="paragraph" w:styleId="29">
    <w:name w:val="Plain Text"/>
    <w:basedOn w:val="1"/>
    <w:link w:val="294"/>
    <w:uiPriority w:val="0"/>
    <w:pPr>
      <w:widowControl w:val="0"/>
      <w:spacing w:line="440" w:lineRule="exact"/>
      <w:ind w:left="420" w:leftChars="200" w:firstLine="435" w:firstLineChars="207"/>
      <w:jc w:val="both"/>
    </w:pPr>
    <w:rPr>
      <w:rFonts w:hAnsi="Courier New" w:cs="Times New Roman"/>
      <w:kern w:val="2"/>
      <w:sz w:val="21"/>
      <w:szCs w:val="20"/>
    </w:rPr>
  </w:style>
  <w:style w:type="paragraph" w:styleId="30">
    <w:name w:val="toc 8"/>
    <w:basedOn w:val="1"/>
    <w:next w:val="1"/>
    <w:uiPriority w:val="39"/>
    <w:pPr>
      <w:widowControl w:val="0"/>
      <w:tabs>
        <w:tab w:val="right" w:leader="dot" w:pos="9241"/>
      </w:tabs>
      <w:ind w:firstLine="607" w:firstLineChars="600"/>
    </w:pPr>
    <w:rPr>
      <w:rFonts w:hAnsi="Times New Roman" w:cs="Times New Roman"/>
      <w:kern w:val="2"/>
      <w:sz w:val="21"/>
      <w:szCs w:val="21"/>
    </w:rPr>
  </w:style>
  <w:style w:type="paragraph" w:styleId="31">
    <w:name w:val="index 3"/>
    <w:basedOn w:val="1"/>
    <w:next w:val="1"/>
    <w:qFormat/>
    <w:uiPriority w:val="0"/>
    <w:pPr>
      <w:widowControl w:val="0"/>
      <w:ind w:left="630" w:hanging="210"/>
    </w:pPr>
    <w:rPr>
      <w:rFonts w:ascii="Calibri" w:hAnsi="Calibri" w:cs="Times New Roman"/>
      <w:kern w:val="2"/>
      <w:sz w:val="20"/>
      <w:szCs w:val="20"/>
    </w:rPr>
  </w:style>
  <w:style w:type="paragraph" w:styleId="32">
    <w:name w:val="Date"/>
    <w:basedOn w:val="1"/>
    <w:next w:val="1"/>
    <w:link w:val="293"/>
    <w:uiPriority w:val="0"/>
    <w:pPr>
      <w:widowControl w:val="0"/>
      <w:jc w:val="both"/>
    </w:pPr>
    <w:rPr>
      <w:rFonts w:ascii="Arial" w:hAnsi="Arial" w:cs="Times New Roman"/>
      <w:kern w:val="2"/>
      <w:sz w:val="21"/>
      <w:szCs w:val="20"/>
    </w:rPr>
  </w:style>
  <w:style w:type="paragraph" w:styleId="33">
    <w:name w:val="Body Text Indent 2"/>
    <w:basedOn w:val="1"/>
    <w:link w:val="274"/>
    <w:uiPriority w:val="0"/>
    <w:pPr>
      <w:widowControl w:val="0"/>
      <w:ind w:firstLine="360"/>
      <w:jc w:val="both"/>
    </w:pPr>
    <w:rPr>
      <w:rFonts w:ascii="Times New Roman" w:hAnsi="Times New Roman" w:cs="Times New Roman"/>
      <w:kern w:val="2"/>
      <w:sz w:val="21"/>
    </w:rPr>
  </w:style>
  <w:style w:type="paragraph" w:styleId="34">
    <w:name w:val="endnote text"/>
    <w:basedOn w:val="1"/>
    <w:semiHidden/>
    <w:uiPriority w:val="0"/>
    <w:pPr>
      <w:widowControl w:val="0"/>
      <w:snapToGrid w:val="0"/>
    </w:pPr>
    <w:rPr>
      <w:rFonts w:ascii="Times New Roman" w:hAnsi="Times New Roman" w:cs="Times New Roman"/>
      <w:kern w:val="2"/>
      <w:sz w:val="21"/>
    </w:rPr>
  </w:style>
  <w:style w:type="paragraph" w:styleId="35">
    <w:name w:val="Balloon Text"/>
    <w:basedOn w:val="1"/>
    <w:link w:val="309"/>
    <w:uiPriority w:val="0"/>
    <w:pPr>
      <w:widowControl w:val="0"/>
      <w:jc w:val="both"/>
    </w:pPr>
    <w:rPr>
      <w:rFonts w:ascii="Times New Roman" w:hAnsi="Times New Roman" w:cs="Times New Roman"/>
      <w:kern w:val="2"/>
      <w:sz w:val="18"/>
      <w:szCs w:val="18"/>
    </w:rPr>
  </w:style>
  <w:style w:type="paragraph" w:styleId="36">
    <w:name w:val="footer"/>
    <w:basedOn w:val="1"/>
    <w:qFormat/>
    <w:uiPriority w:val="0"/>
    <w:pPr>
      <w:widowControl w:val="0"/>
      <w:snapToGrid w:val="0"/>
      <w:ind w:right="210" w:rightChars="100"/>
      <w:jc w:val="right"/>
    </w:pPr>
    <w:rPr>
      <w:rFonts w:ascii="Times New Roman" w:hAnsi="Times New Roman" w:cs="Times New Roman"/>
      <w:kern w:val="2"/>
      <w:sz w:val="18"/>
      <w:szCs w:val="18"/>
    </w:rPr>
  </w:style>
  <w:style w:type="paragraph" w:styleId="37">
    <w:name w:val="header"/>
    <w:basedOn w:val="1"/>
    <w:qFormat/>
    <w:uiPriority w:val="0"/>
    <w:pPr>
      <w:widowControl w:val="0"/>
      <w:snapToGrid w:val="0"/>
    </w:pPr>
    <w:rPr>
      <w:rFonts w:ascii="Times New Roman" w:hAnsi="Times New Roman" w:cs="Times New Roman"/>
      <w:kern w:val="2"/>
      <w:sz w:val="18"/>
      <w:szCs w:val="18"/>
    </w:rPr>
  </w:style>
  <w:style w:type="paragraph" w:styleId="38">
    <w:name w:val="toc 1"/>
    <w:basedOn w:val="1"/>
    <w:next w:val="1"/>
    <w:qFormat/>
    <w:uiPriority w:val="39"/>
    <w:pPr>
      <w:widowControl w:val="0"/>
      <w:tabs>
        <w:tab w:val="right" w:leader="dot" w:pos="9241"/>
      </w:tabs>
      <w:spacing w:beforeLines="25" w:afterLines="25"/>
    </w:pPr>
    <w:rPr>
      <w:rFonts w:hAnsi="Times New Roman" w:cs="Times New Roman"/>
      <w:kern w:val="2"/>
      <w:sz w:val="21"/>
      <w:szCs w:val="21"/>
    </w:rPr>
  </w:style>
  <w:style w:type="paragraph" w:styleId="39">
    <w:name w:val="toc 4"/>
    <w:basedOn w:val="1"/>
    <w:next w:val="1"/>
    <w:qFormat/>
    <w:uiPriority w:val="39"/>
    <w:pPr>
      <w:widowControl w:val="0"/>
      <w:tabs>
        <w:tab w:val="right" w:leader="dot" w:pos="9241"/>
      </w:tabs>
      <w:ind w:firstLine="198" w:firstLineChars="200"/>
    </w:pPr>
    <w:rPr>
      <w:rFonts w:hAnsi="Times New Roman" w:cs="Times New Roman"/>
      <w:kern w:val="2"/>
      <w:sz w:val="21"/>
      <w:szCs w:val="21"/>
    </w:rPr>
  </w:style>
  <w:style w:type="paragraph" w:styleId="40">
    <w:name w:val="index heading"/>
    <w:basedOn w:val="1"/>
    <w:next w:val="41"/>
    <w:uiPriority w:val="0"/>
    <w:pPr>
      <w:widowControl w:val="0"/>
      <w:spacing w:before="120" w:after="120"/>
      <w:jc w:val="center"/>
    </w:pPr>
    <w:rPr>
      <w:rFonts w:ascii="Calibri" w:hAnsi="Calibri" w:cs="Times New Roman"/>
      <w:b/>
      <w:bCs/>
      <w:iCs/>
      <w:kern w:val="2"/>
      <w:sz w:val="21"/>
      <w:szCs w:val="20"/>
    </w:rPr>
  </w:style>
  <w:style w:type="paragraph" w:styleId="41">
    <w:name w:val="index 1"/>
    <w:basedOn w:val="1"/>
    <w:next w:val="42"/>
    <w:qFormat/>
    <w:uiPriority w:val="0"/>
    <w:pPr>
      <w:widowControl w:val="0"/>
      <w:tabs>
        <w:tab w:val="right" w:leader="dot" w:pos="9299"/>
      </w:tabs>
    </w:pPr>
    <w:rPr>
      <w:rFonts w:hAnsi="Times New Roman" w:cs="Times New Roman"/>
      <w:kern w:val="2"/>
      <w:sz w:val="21"/>
      <w:szCs w:val="21"/>
    </w:rPr>
  </w:style>
  <w:style w:type="paragraph" w:customStyle="1" w:styleId="42">
    <w:name w:val="段"/>
    <w:link w:val="249"/>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43">
    <w:name w:val="footnote text"/>
    <w:basedOn w:val="1"/>
    <w:link w:val="310"/>
    <w:uiPriority w:val="0"/>
    <w:pPr>
      <w:widowControl w:val="0"/>
      <w:numPr>
        <w:ilvl w:val="0"/>
        <w:numId w:val="2"/>
      </w:numPr>
      <w:snapToGrid w:val="0"/>
    </w:pPr>
    <w:rPr>
      <w:rFonts w:hAnsi="Times New Roman" w:cs="Times New Roman"/>
      <w:kern w:val="2"/>
      <w:sz w:val="18"/>
      <w:szCs w:val="18"/>
    </w:rPr>
  </w:style>
  <w:style w:type="paragraph" w:styleId="44">
    <w:name w:val="toc 6"/>
    <w:basedOn w:val="1"/>
    <w:next w:val="1"/>
    <w:uiPriority w:val="39"/>
    <w:pPr>
      <w:widowControl w:val="0"/>
      <w:tabs>
        <w:tab w:val="right" w:leader="dot" w:pos="9241"/>
      </w:tabs>
      <w:ind w:firstLine="403" w:firstLineChars="400"/>
    </w:pPr>
    <w:rPr>
      <w:rFonts w:hAnsi="Times New Roman" w:cs="Times New Roman"/>
      <w:kern w:val="2"/>
      <w:sz w:val="21"/>
      <w:szCs w:val="21"/>
    </w:rPr>
  </w:style>
  <w:style w:type="paragraph" w:styleId="45">
    <w:name w:val="Body Text Indent 3"/>
    <w:basedOn w:val="1"/>
    <w:link w:val="276"/>
    <w:uiPriority w:val="0"/>
    <w:pPr>
      <w:widowControl w:val="0"/>
      <w:tabs>
        <w:tab w:val="left" w:pos="825"/>
      </w:tabs>
      <w:ind w:firstLine="420" w:firstLineChars="200"/>
      <w:jc w:val="both"/>
    </w:pPr>
    <w:rPr>
      <w:rFonts w:ascii="Times New Roman" w:hAnsi="Times New Roman" w:cs="Times New Roman"/>
      <w:color w:val="FF0000"/>
      <w:kern w:val="2"/>
      <w:sz w:val="21"/>
    </w:rPr>
  </w:style>
  <w:style w:type="paragraph" w:styleId="46">
    <w:name w:val="index 7"/>
    <w:basedOn w:val="1"/>
    <w:next w:val="1"/>
    <w:uiPriority w:val="0"/>
    <w:pPr>
      <w:widowControl w:val="0"/>
      <w:ind w:left="1470" w:hanging="210"/>
    </w:pPr>
    <w:rPr>
      <w:rFonts w:ascii="Calibri" w:hAnsi="Calibri" w:cs="Times New Roman"/>
      <w:kern w:val="2"/>
      <w:sz w:val="20"/>
      <w:szCs w:val="20"/>
    </w:rPr>
  </w:style>
  <w:style w:type="paragraph" w:styleId="47">
    <w:name w:val="index 9"/>
    <w:basedOn w:val="1"/>
    <w:next w:val="1"/>
    <w:qFormat/>
    <w:uiPriority w:val="0"/>
    <w:pPr>
      <w:widowControl w:val="0"/>
      <w:ind w:left="1890" w:hanging="210"/>
    </w:pPr>
    <w:rPr>
      <w:rFonts w:ascii="Calibri" w:hAnsi="Calibri" w:cs="Times New Roman"/>
      <w:kern w:val="2"/>
      <w:sz w:val="20"/>
      <w:szCs w:val="20"/>
    </w:rPr>
  </w:style>
  <w:style w:type="paragraph" w:styleId="48">
    <w:name w:val="toc 2"/>
    <w:basedOn w:val="1"/>
    <w:next w:val="1"/>
    <w:qFormat/>
    <w:uiPriority w:val="39"/>
    <w:pPr>
      <w:widowControl w:val="0"/>
      <w:tabs>
        <w:tab w:val="right" w:leader="dot" w:pos="9241"/>
      </w:tabs>
      <w:jc w:val="both"/>
    </w:pPr>
    <w:rPr>
      <w:rFonts w:hAnsi="Times New Roman" w:cs="Times New Roman"/>
      <w:kern w:val="2"/>
      <w:sz w:val="21"/>
      <w:szCs w:val="21"/>
    </w:rPr>
  </w:style>
  <w:style w:type="paragraph" w:styleId="49">
    <w:name w:val="toc 9"/>
    <w:basedOn w:val="1"/>
    <w:next w:val="1"/>
    <w:qFormat/>
    <w:uiPriority w:val="39"/>
    <w:pPr>
      <w:widowControl w:val="0"/>
      <w:ind w:left="1470"/>
    </w:pPr>
    <w:rPr>
      <w:rFonts w:ascii="Times New Roman" w:hAnsi="Times New Roman" w:cs="Times New Roman"/>
      <w:kern w:val="2"/>
      <w:sz w:val="20"/>
      <w:szCs w:val="20"/>
    </w:rPr>
  </w:style>
  <w:style w:type="paragraph" w:styleId="50">
    <w:name w:val="Body Text 2"/>
    <w:basedOn w:val="1"/>
    <w:link w:val="300"/>
    <w:qFormat/>
    <w:uiPriority w:val="0"/>
    <w:pPr>
      <w:widowControl w:val="0"/>
      <w:spacing w:after="120" w:line="480" w:lineRule="auto"/>
      <w:jc w:val="both"/>
    </w:pPr>
    <w:rPr>
      <w:rFonts w:ascii="Times New Roman" w:hAnsi="Times New Roman" w:cs="Times New Roman"/>
      <w:kern w:val="2"/>
      <w:sz w:val="21"/>
    </w:rPr>
  </w:style>
  <w:style w:type="paragraph" w:styleId="51">
    <w:name w:val="HTML Preformatted"/>
    <w:basedOn w:val="1"/>
    <w:link w:val="270"/>
    <w:qFormat/>
    <w:uiPriority w:val="0"/>
    <w:pPr>
      <w:widowControl w:val="0"/>
      <w:jc w:val="both"/>
    </w:pPr>
    <w:rPr>
      <w:rFonts w:ascii="Courier New" w:hAnsi="Courier New" w:cs="Courier New"/>
      <w:kern w:val="2"/>
      <w:sz w:val="20"/>
      <w:szCs w:val="20"/>
    </w:rPr>
  </w:style>
  <w:style w:type="paragraph" w:styleId="52">
    <w:name w:val="Normal (Web)"/>
    <w:basedOn w:val="1"/>
    <w:unhideWhenUsed/>
    <w:qFormat/>
    <w:uiPriority w:val="99"/>
    <w:pPr>
      <w:spacing w:before="100" w:beforeAutospacing="1" w:after="100" w:afterAutospacing="1"/>
    </w:pPr>
  </w:style>
  <w:style w:type="paragraph" w:styleId="53">
    <w:name w:val="index 2"/>
    <w:basedOn w:val="1"/>
    <w:next w:val="1"/>
    <w:qFormat/>
    <w:uiPriority w:val="0"/>
    <w:pPr>
      <w:widowControl w:val="0"/>
      <w:ind w:left="420" w:hanging="210"/>
    </w:pPr>
    <w:rPr>
      <w:rFonts w:ascii="Calibri" w:hAnsi="Calibri" w:cs="Times New Roman"/>
      <w:kern w:val="2"/>
      <w:sz w:val="20"/>
      <w:szCs w:val="20"/>
    </w:rPr>
  </w:style>
  <w:style w:type="paragraph" w:styleId="54">
    <w:name w:val="Title"/>
    <w:basedOn w:val="1"/>
    <w:next w:val="6"/>
    <w:link w:val="268"/>
    <w:qFormat/>
    <w:uiPriority w:val="0"/>
    <w:pPr>
      <w:widowControl w:val="0"/>
      <w:spacing w:beforeLines="50" w:afterLines="50"/>
      <w:jc w:val="center"/>
    </w:pPr>
    <w:rPr>
      <w:rFonts w:ascii="Arial" w:hAnsi="Arial" w:cs="Arial"/>
      <w:b/>
      <w:bCs/>
      <w:kern w:val="2"/>
      <w:sz w:val="32"/>
      <w:szCs w:val="32"/>
    </w:rPr>
  </w:style>
  <w:style w:type="paragraph" w:styleId="55">
    <w:name w:val="annotation subject"/>
    <w:basedOn w:val="20"/>
    <w:next w:val="20"/>
    <w:link w:val="255"/>
    <w:qFormat/>
    <w:uiPriority w:val="0"/>
    <w:pPr>
      <w:numPr>
        <w:ilvl w:val="5"/>
      </w:numPr>
      <w:ind w:left="0" w:firstLine="0"/>
    </w:pPr>
    <w:rPr>
      <w:b/>
      <w:bCs/>
    </w:rPr>
  </w:style>
  <w:style w:type="table" w:styleId="57">
    <w:name w:val="Table Grid"/>
    <w:basedOn w:val="56"/>
    <w:qFormat/>
    <w:uiPriority w:val="59"/>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59">
    <w:name w:val="Strong"/>
    <w:qFormat/>
    <w:uiPriority w:val="22"/>
    <w:rPr>
      <w:b/>
      <w:bCs/>
    </w:rPr>
  </w:style>
  <w:style w:type="character" w:styleId="60">
    <w:name w:val="endnote reference"/>
    <w:semiHidden/>
    <w:uiPriority w:val="0"/>
    <w:rPr>
      <w:vertAlign w:val="superscript"/>
    </w:rPr>
  </w:style>
  <w:style w:type="character" w:styleId="61">
    <w:name w:val="page number"/>
    <w:qFormat/>
    <w:uiPriority w:val="0"/>
    <w:rPr>
      <w:rFonts w:ascii="Times New Roman" w:hAnsi="Times New Roman" w:eastAsia="宋体"/>
      <w:sz w:val="18"/>
    </w:rPr>
  </w:style>
  <w:style w:type="character" w:styleId="62">
    <w:name w:val="HTML Definition"/>
    <w:qFormat/>
    <w:uiPriority w:val="0"/>
    <w:rPr>
      <w:i/>
      <w:iCs/>
    </w:rPr>
  </w:style>
  <w:style w:type="character" w:styleId="63">
    <w:name w:val="HTML Typewriter"/>
    <w:uiPriority w:val="0"/>
    <w:rPr>
      <w:rFonts w:ascii="Courier New" w:hAnsi="Courier New"/>
      <w:sz w:val="20"/>
      <w:szCs w:val="20"/>
    </w:rPr>
  </w:style>
  <w:style w:type="character" w:styleId="64">
    <w:name w:val="HTML Acronym"/>
    <w:basedOn w:val="58"/>
    <w:qFormat/>
    <w:uiPriority w:val="0"/>
  </w:style>
  <w:style w:type="character" w:styleId="65">
    <w:name w:val="HTML Variable"/>
    <w:uiPriority w:val="0"/>
    <w:rPr>
      <w:i/>
      <w:iCs/>
    </w:rPr>
  </w:style>
  <w:style w:type="character" w:styleId="66">
    <w:name w:val="Hyperlink"/>
    <w:uiPriority w:val="99"/>
    <w:rPr>
      <w:color w:val="0000FF"/>
      <w:spacing w:val="0"/>
      <w:w w:val="100"/>
      <w:szCs w:val="21"/>
      <w:u w:val="single"/>
    </w:rPr>
  </w:style>
  <w:style w:type="character" w:styleId="67">
    <w:name w:val="HTML Code"/>
    <w:qFormat/>
    <w:uiPriority w:val="0"/>
    <w:rPr>
      <w:rFonts w:ascii="Courier New" w:hAnsi="Courier New"/>
      <w:sz w:val="20"/>
      <w:szCs w:val="20"/>
    </w:rPr>
  </w:style>
  <w:style w:type="character" w:styleId="68">
    <w:name w:val="annotation reference"/>
    <w:qFormat/>
    <w:uiPriority w:val="99"/>
    <w:rPr>
      <w:sz w:val="21"/>
      <w:szCs w:val="21"/>
    </w:rPr>
  </w:style>
  <w:style w:type="character" w:styleId="69">
    <w:name w:val="HTML Cite"/>
    <w:qFormat/>
    <w:uiPriority w:val="0"/>
    <w:rPr>
      <w:i/>
      <w:iCs/>
    </w:rPr>
  </w:style>
  <w:style w:type="character" w:styleId="70">
    <w:name w:val="footnote reference"/>
    <w:semiHidden/>
    <w:qFormat/>
    <w:uiPriority w:val="0"/>
    <w:rPr>
      <w:vertAlign w:val="superscript"/>
    </w:rPr>
  </w:style>
  <w:style w:type="character" w:styleId="71">
    <w:name w:val="HTML Keyboard"/>
    <w:qFormat/>
    <w:uiPriority w:val="0"/>
    <w:rPr>
      <w:rFonts w:ascii="Courier New" w:hAnsi="Courier New"/>
      <w:sz w:val="20"/>
      <w:szCs w:val="20"/>
    </w:rPr>
  </w:style>
  <w:style w:type="character" w:styleId="72">
    <w:name w:val="HTML Sample"/>
    <w:qFormat/>
    <w:uiPriority w:val="0"/>
    <w:rPr>
      <w:rFonts w:ascii="Courier New" w:hAnsi="Courier New"/>
    </w:rPr>
  </w:style>
  <w:style w:type="paragraph" w:customStyle="1" w:styleId="73">
    <w:name w:val="一级条标题"/>
    <w:next w:val="42"/>
    <w:qFormat/>
    <w:uiPriority w:val="0"/>
    <w:pPr>
      <w:numPr>
        <w:ilvl w:val="1"/>
        <w:numId w:val="3"/>
      </w:numPr>
      <w:spacing w:beforeLines="50" w:afterLines="50"/>
      <w:outlineLvl w:val="2"/>
    </w:pPr>
    <w:rPr>
      <w:rFonts w:ascii="黑体" w:hAnsi="Times New Roman" w:eastAsia="黑体" w:cs="Times New Roman"/>
      <w:sz w:val="21"/>
      <w:szCs w:val="21"/>
      <w:lang w:val="en-US" w:eastAsia="zh-CN" w:bidi="ar-SA"/>
    </w:rPr>
  </w:style>
  <w:style w:type="paragraph" w:customStyle="1" w:styleId="74">
    <w:name w:val="标准书脚_奇数页"/>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75">
    <w:name w:val="标准书眉_奇数页"/>
    <w:next w:val="1"/>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76">
    <w:name w:val="章标题"/>
    <w:next w:val="42"/>
    <w:qFormat/>
    <w:uiPriority w:val="0"/>
    <w:pPr>
      <w:numPr>
        <w:ilvl w:val="0"/>
        <w:numId w:val="3"/>
      </w:numPr>
      <w:spacing w:beforeLines="100" w:afterLines="100"/>
      <w:jc w:val="both"/>
      <w:outlineLvl w:val="1"/>
    </w:pPr>
    <w:rPr>
      <w:rFonts w:ascii="黑体" w:hAnsi="Times New Roman" w:eastAsia="黑体" w:cs="Times New Roman"/>
      <w:sz w:val="21"/>
      <w:lang w:val="en-US" w:eastAsia="zh-CN" w:bidi="ar-SA"/>
    </w:rPr>
  </w:style>
  <w:style w:type="paragraph" w:customStyle="1" w:styleId="77">
    <w:name w:val="二级条标题"/>
    <w:basedOn w:val="73"/>
    <w:next w:val="42"/>
    <w:link w:val="256"/>
    <w:qFormat/>
    <w:uiPriority w:val="0"/>
    <w:pPr>
      <w:numPr>
        <w:ilvl w:val="2"/>
      </w:numPr>
      <w:spacing w:before="50" w:after="50"/>
      <w:outlineLvl w:val="3"/>
    </w:pPr>
  </w:style>
  <w:style w:type="paragraph" w:customStyle="1" w:styleId="78">
    <w:name w:val="封面标准号2"/>
    <w:uiPriority w:val="0"/>
    <w:pPr>
      <w:spacing w:before="357" w:line="280" w:lineRule="exact"/>
      <w:jc w:val="right"/>
    </w:pPr>
    <w:rPr>
      <w:rFonts w:ascii="黑体" w:hAnsi="Times New Roman" w:eastAsia="黑体" w:cs="Times New Roman"/>
      <w:sz w:val="28"/>
      <w:szCs w:val="28"/>
      <w:lang w:val="en-US" w:eastAsia="zh-CN" w:bidi="ar-SA"/>
    </w:rPr>
  </w:style>
  <w:style w:type="paragraph" w:customStyle="1" w:styleId="79">
    <w:name w:val="列项——（一级）"/>
    <w:uiPriority w:val="0"/>
    <w:pPr>
      <w:widowControl w:val="0"/>
      <w:numPr>
        <w:ilvl w:val="0"/>
        <w:numId w:val="4"/>
      </w:numPr>
      <w:jc w:val="both"/>
    </w:pPr>
    <w:rPr>
      <w:rFonts w:ascii="宋体" w:hAnsi="Times New Roman" w:eastAsia="宋体" w:cs="Times New Roman"/>
      <w:sz w:val="21"/>
      <w:lang w:val="en-US" w:eastAsia="zh-CN" w:bidi="ar-SA"/>
    </w:rPr>
  </w:style>
  <w:style w:type="paragraph" w:customStyle="1" w:styleId="80">
    <w:name w:val="列项●（二级）"/>
    <w:qFormat/>
    <w:uiPriority w:val="0"/>
    <w:pPr>
      <w:numPr>
        <w:ilvl w:val="1"/>
        <w:numId w:val="4"/>
      </w:numPr>
      <w:tabs>
        <w:tab w:val="left" w:pos="840"/>
      </w:tabs>
      <w:jc w:val="both"/>
    </w:pPr>
    <w:rPr>
      <w:rFonts w:ascii="宋体" w:hAnsi="Times New Roman" w:eastAsia="宋体" w:cs="Times New Roman"/>
      <w:sz w:val="21"/>
      <w:lang w:val="en-US" w:eastAsia="zh-CN" w:bidi="ar-SA"/>
    </w:rPr>
  </w:style>
  <w:style w:type="paragraph" w:customStyle="1" w:styleId="81">
    <w:name w:val="目次、标准名称标题"/>
    <w:basedOn w:val="1"/>
    <w:next w:val="42"/>
    <w:qFormat/>
    <w:uiPriority w:val="0"/>
    <w:pPr>
      <w:keepNext/>
      <w:pageBreakBefore/>
      <w:shd w:val="clear" w:color="FFFFFF" w:fill="FFFFFF"/>
      <w:spacing w:before="640" w:after="560" w:line="460" w:lineRule="exact"/>
      <w:jc w:val="center"/>
      <w:outlineLvl w:val="0"/>
    </w:pPr>
    <w:rPr>
      <w:rFonts w:ascii="黑体" w:hAnsi="Times New Roman" w:eastAsia="黑体" w:cs="Times New Roman"/>
      <w:sz w:val="32"/>
      <w:szCs w:val="20"/>
    </w:rPr>
  </w:style>
  <w:style w:type="paragraph" w:customStyle="1" w:styleId="82">
    <w:name w:val="三级条标题"/>
    <w:basedOn w:val="77"/>
    <w:next w:val="42"/>
    <w:qFormat/>
    <w:uiPriority w:val="0"/>
    <w:pPr>
      <w:numPr>
        <w:ilvl w:val="3"/>
      </w:numPr>
      <w:outlineLvl w:val="4"/>
    </w:pPr>
  </w:style>
  <w:style w:type="paragraph" w:customStyle="1" w:styleId="83">
    <w:name w:val="示例"/>
    <w:next w:val="84"/>
    <w:uiPriority w:val="0"/>
    <w:pPr>
      <w:widowControl w:val="0"/>
      <w:ind w:firstLine="363"/>
      <w:jc w:val="both"/>
    </w:pPr>
    <w:rPr>
      <w:rFonts w:ascii="宋体" w:hAnsi="Times New Roman" w:eastAsia="宋体" w:cs="Times New Roman"/>
      <w:sz w:val="18"/>
      <w:szCs w:val="18"/>
      <w:lang w:val="en-US" w:eastAsia="zh-CN" w:bidi="ar-SA"/>
    </w:rPr>
  </w:style>
  <w:style w:type="paragraph" w:customStyle="1" w:styleId="84">
    <w:name w:val="示例内容"/>
    <w:qFormat/>
    <w:uiPriority w:val="0"/>
    <w:pPr>
      <w:ind w:firstLine="200" w:firstLineChars="200"/>
    </w:pPr>
    <w:rPr>
      <w:rFonts w:ascii="宋体" w:hAnsi="Times New Roman" w:eastAsia="宋体" w:cs="Times New Roman"/>
      <w:sz w:val="18"/>
      <w:szCs w:val="18"/>
      <w:lang w:val="en-US" w:eastAsia="zh-CN" w:bidi="ar-SA"/>
    </w:rPr>
  </w:style>
  <w:style w:type="paragraph" w:customStyle="1" w:styleId="85">
    <w:name w:val="数字编号列项（二级）"/>
    <w:qFormat/>
    <w:uiPriority w:val="0"/>
    <w:pPr>
      <w:numPr>
        <w:ilvl w:val="1"/>
        <w:numId w:val="5"/>
      </w:numPr>
      <w:tabs>
        <w:tab w:val="left" w:pos="840"/>
      </w:tabs>
      <w:jc w:val="both"/>
    </w:pPr>
    <w:rPr>
      <w:rFonts w:ascii="宋体" w:hAnsi="Times New Roman" w:eastAsia="宋体" w:cs="Times New Roman"/>
      <w:sz w:val="21"/>
      <w:lang w:val="en-US" w:eastAsia="zh-CN" w:bidi="ar-SA"/>
    </w:rPr>
  </w:style>
  <w:style w:type="paragraph" w:customStyle="1" w:styleId="86">
    <w:name w:val="四级条标题"/>
    <w:basedOn w:val="82"/>
    <w:next w:val="42"/>
    <w:qFormat/>
    <w:uiPriority w:val="0"/>
    <w:pPr>
      <w:numPr>
        <w:ilvl w:val="4"/>
      </w:numPr>
      <w:outlineLvl w:val="5"/>
    </w:pPr>
  </w:style>
  <w:style w:type="paragraph" w:customStyle="1" w:styleId="87">
    <w:name w:val="五级条标题"/>
    <w:basedOn w:val="86"/>
    <w:next w:val="42"/>
    <w:qFormat/>
    <w:uiPriority w:val="0"/>
    <w:pPr>
      <w:numPr>
        <w:ilvl w:val="5"/>
      </w:numPr>
      <w:outlineLvl w:val="6"/>
    </w:pPr>
  </w:style>
  <w:style w:type="paragraph" w:customStyle="1" w:styleId="88">
    <w:name w:val="注："/>
    <w:next w:val="42"/>
    <w:uiPriority w:val="0"/>
    <w:pPr>
      <w:widowControl w:val="0"/>
      <w:autoSpaceDE w:val="0"/>
      <w:autoSpaceDN w:val="0"/>
      <w:ind w:left="726" w:hanging="363"/>
      <w:jc w:val="both"/>
    </w:pPr>
    <w:rPr>
      <w:rFonts w:ascii="宋体" w:hAnsi="Times New Roman" w:eastAsia="宋体" w:cs="Times New Roman"/>
      <w:sz w:val="18"/>
      <w:szCs w:val="18"/>
      <w:lang w:val="en-US" w:eastAsia="zh-CN" w:bidi="ar-SA"/>
    </w:rPr>
  </w:style>
  <w:style w:type="paragraph" w:customStyle="1" w:styleId="89">
    <w:name w:val="注×："/>
    <w:uiPriority w:val="0"/>
    <w:pPr>
      <w:widowControl w:val="0"/>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90">
    <w:name w:val="字母编号列项（一级）"/>
    <w:qFormat/>
    <w:uiPriority w:val="0"/>
    <w:pPr>
      <w:jc w:val="both"/>
    </w:pPr>
    <w:rPr>
      <w:rFonts w:ascii="宋体" w:hAnsi="Times New Roman" w:eastAsia="宋体" w:cs="Times New Roman"/>
      <w:sz w:val="21"/>
      <w:lang w:val="en-US" w:eastAsia="zh-CN" w:bidi="ar-SA"/>
    </w:rPr>
  </w:style>
  <w:style w:type="paragraph" w:customStyle="1" w:styleId="91">
    <w:name w:val="列项◆（三级）"/>
    <w:basedOn w:val="1"/>
    <w:qFormat/>
    <w:uiPriority w:val="0"/>
    <w:pPr>
      <w:widowControl w:val="0"/>
      <w:numPr>
        <w:ilvl w:val="2"/>
        <w:numId w:val="4"/>
      </w:numPr>
      <w:jc w:val="both"/>
    </w:pPr>
    <w:rPr>
      <w:rFonts w:hAnsi="Times New Roman" w:cs="Times New Roman"/>
      <w:kern w:val="2"/>
      <w:sz w:val="21"/>
      <w:szCs w:val="21"/>
    </w:rPr>
  </w:style>
  <w:style w:type="paragraph" w:customStyle="1" w:styleId="92">
    <w:name w:val="编号列项（三级）"/>
    <w:uiPriority w:val="0"/>
    <w:pPr>
      <w:numPr>
        <w:ilvl w:val="2"/>
        <w:numId w:val="5"/>
      </w:numPr>
      <w:tabs>
        <w:tab w:val="left" w:pos="840"/>
      </w:tabs>
    </w:pPr>
    <w:rPr>
      <w:rFonts w:ascii="宋体" w:hAnsi="Times New Roman" w:eastAsia="宋体" w:cs="Times New Roman"/>
      <w:sz w:val="21"/>
      <w:lang w:val="en-US" w:eastAsia="zh-CN" w:bidi="ar-SA"/>
    </w:rPr>
  </w:style>
  <w:style w:type="paragraph" w:customStyle="1" w:styleId="93">
    <w:name w:val="示例×："/>
    <w:basedOn w:val="76"/>
    <w:qFormat/>
    <w:uiPriority w:val="0"/>
    <w:pPr>
      <w:numPr>
        <w:numId w:val="0"/>
      </w:numPr>
      <w:spacing w:beforeLines="0" w:afterLines="0"/>
      <w:ind w:firstLine="363"/>
      <w:outlineLvl w:val="9"/>
    </w:pPr>
    <w:rPr>
      <w:rFonts w:ascii="宋体" w:eastAsia="宋体"/>
      <w:sz w:val="18"/>
      <w:szCs w:val="18"/>
    </w:rPr>
  </w:style>
  <w:style w:type="paragraph" w:customStyle="1" w:styleId="94">
    <w:name w:val="二级无"/>
    <w:basedOn w:val="77"/>
    <w:qFormat/>
    <w:uiPriority w:val="0"/>
    <w:pPr>
      <w:spacing w:beforeLines="0" w:afterLines="0"/>
    </w:pPr>
    <w:rPr>
      <w:rFonts w:ascii="宋体" w:eastAsia="宋体"/>
    </w:rPr>
  </w:style>
  <w:style w:type="paragraph" w:customStyle="1" w:styleId="95">
    <w:name w:val="注：（正文）"/>
    <w:basedOn w:val="88"/>
    <w:next w:val="42"/>
    <w:uiPriority w:val="0"/>
  </w:style>
  <w:style w:type="paragraph" w:customStyle="1" w:styleId="96">
    <w:name w:val="注×：（正文）"/>
    <w:qFormat/>
    <w:uiPriority w:val="0"/>
    <w:pPr>
      <w:numPr>
        <w:ilvl w:val="0"/>
        <w:numId w:val="6"/>
      </w:numPr>
      <w:jc w:val="both"/>
    </w:pPr>
    <w:rPr>
      <w:rFonts w:ascii="宋体" w:hAnsi="Times New Roman" w:eastAsia="宋体" w:cs="Times New Roman"/>
      <w:sz w:val="18"/>
      <w:szCs w:val="18"/>
      <w:lang w:val="en-US" w:eastAsia="zh-CN" w:bidi="ar-SA"/>
    </w:rPr>
  </w:style>
  <w:style w:type="paragraph" w:customStyle="1" w:styleId="97">
    <w:name w:val="标准标志"/>
    <w:next w:val="1"/>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98">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99">
    <w:name w:val="标准书脚_偶数页"/>
    <w:uiPriority w:val="0"/>
    <w:pPr>
      <w:spacing w:before="120"/>
      <w:ind w:left="221"/>
    </w:pPr>
    <w:rPr>
      <w:rFonts w:ascii="宋体" w:hAnsi="Times New Roman" w:eastAsia="宋体" w:cs="Times New Roman"/>
      <w:sz w:val="18"/>
      <w:szCs w:val="18"/>
      <w:lang w:val="en-US" w:eastAsia="zh-CN" w:bidi="ar-SA"/>
    </w:rPr>
  </w:style>
  <w:style w:type="paragraph" w:customStyle="1" w:styleId="100">
    <w:name w:val="标准书眉_偶数页"/>
    <w:basedOn w:val="75"/>
    <w:next w:val="1"/>
    <w:uiPriority w:val="0"/>
    <w:pPr>
      <w:jc w:val="left"/>
    </w:pPr>
  </w:style>
  <w:style w:type="paragraph" w:customStyle="1" w:styleId="101">
    <w:name w:val="标准书眉一"/>
    <w:uiPriority w:val="0"/>
    <w:pPr>
      <w:jc w:val="both"/>
    </w:pPr>
    <w:rPr>
      <w:rFonts w:ascii="Times New Roman" w:hAnsi="Times New Roman" w:eastAsia="宋体" w:cs="Times New Roman"/>
      <w:lang w:val="en-US" w:eastAsia="zh-CN" w:bidi="ar-SA"/>
    </w:rPr>
  </w:style>
  <w:style w:type="paragraph" w:customStyle="1" w:styleId="102">
    <w:name w:val="参考文献"/>
    <w:basedOn w:val="1"/>
    <w:next w:val="42"/>
    <w:qFormat/>
    <w:uiPriority w:val="0"/>
    <w:pPr>
      <w:keepNext/>
      <w:pageBreakBefore/>
      <w:shd w:val="clear" w:color="FFFFFF" w:fill="FFFFFF"/>
      <w:spacing w:before="640" w:after="200"/>
      <w:jc w:val="center"/>
      <w:outlineLvl w:val="0"/>
    </w:pPr>
    <w:rPr>
      <w:rFonts w:ascii="黑体" w:hAnsi="Times New Roman" w:eastAsia="黑体" w:cs="Times New Roman"/>
      <w:sz w:val="21"/>
      <w:szCs w:val="20"/>
    </w:rPr>
  </w:style>
  <w:style w:type="paragraph" w:customStyle="1" w:styleId="103">
    <w:name w:val="参考文献、索引标题"/>
    <w:basedOn w:val="1"/>
    <w:next w:val="42"/>
    <w:uiPriority w:val="0"/>
    <w:pPr>
      <w:keepNext/>
      <w:pageBreakBefore/>
      <w:shd w:val="clear" w:color="FFFFFF" w:fill="FFFFFF"/>
      <w:spacing w:before="640" w:after="200"/>
      <w:jc w:val="center"/>
      <w:outlineLvl w:val="0"/>
    </w:pPr>
    <w:rPr>
      <w:rFonts w:ascii="黑体" w:hAnsi="Times New Roman" w:eastAsia="黑体" w:cs="Times New Roman"/>
      <w:sz w:val="21"/>
      <w:szCs w:val="20"/>
    </w:rPr>
  </w:style>
  <w:style w:type="paragraph" w:customStyle="1" w:styleId="104">
    <w:name w:val="发布部门"/>
    <w:next w:val="42"/>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105">
    <w:name w:val="发布日期"/>
    <w:uiPriority w:val="0"/>
    <w:rPr>
      <w:rFonts w:ascii="Times New Roman" w:hAnsi="Times New Roman" w:eastAsia="黑体" w:cs="Times New Roman"/>
      <w:sz w:val="28"/>
      <w:lang w:val="en-US" w:eastAsia="zh-CN" w:bidi="ar-SA"/>
    </w:rPr>
  </w:style>
  <w:style w:type="paragraph" w:customStyle="1" w:styleId="106">
    <w:name w:val="封面标准代替信息"/>
    <w:qFormat/>
    <w:uiPriority w:val="0"/>
    <w:pPr>
      <w:spacing w:before="57" w:line="280" w:lineRule="exact"/>
      <w:jc w:val="right"/>
    </w:pPr>
    <w:rPr>
      <w:rFonts w:ascii="宋体" w:hAnsi="Times New Roman" w:eastAsia="宋体" w:cs="Times New Roman"/>
      <w:sz w:val="21"/>
      <w:szCs w:val="21"/>
      <w:lang w:val="en-US" w:eastAsia="zh-CN" w:bidi="ar-SA"/>
    </w:rPr>
  </w:style>
  <w:style w:type="paragraph" w:customStyle="1" w:styleId="107">
    <w:name w:val="封面标准号1"/>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108">
    <w:name w:val="封面标准名称"/>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09">
    <w:name w:val="封面标准英文名称"/>
    <w:basedOn w:val="108"/>
    <w:uiPriority w:val="0"/>
    <w:pPr>
      <w:framePr w:wrap="around" w:vAnchor="margin" w:hAnchor="text" w:y="1"/>
      <w:spacing w:before="370" w:line="400" w:lineRule="exact"/>
    </w:pPr>
    <w:rPr>
      <w:rFonts w:ascii="Times New Roman"/>
      <w:sz w:val="28"/>
      <w:szCs w:val="28"/>
    </w:rPr>
  </w:style>
  <w:style w:type="paragraph" w:customStyle="1" w:styleId="110">
    <w:name w:val="封面一致性程度标识"/>
    <w:basedOn w:val="109"/>
    <w:uiPriority w:val="0"/>
    <w:pPr>
      <w:framePr/>
      <w:spacing w:before="440"/>
    </w:pPr>
    <w:rPr>
      <w:rFonts w:ascii="宋体" w:eastAsia="宋体"/>
    </w:rPr>
  </w:style>
  <w:style w:type="paragraph" w:customStyle="1" w:styleId="111">
    <w:name w:val="封面标准文稿类别"/>
    <w:basedOn w:val="110"/>
    <w:qFormat/>
    <w:uiPriority w:val="0"/>
    <w:pPr>
      <w:framePr/>
      <w:spacing w:after="160" w:line="240" w:lineRule="auto"/>
    </w:pPr>
    <w:rPr>
      <w:sz w:val="24"/>
    </w:rPr>
  </w:style>
  <w:style w:type="paragraph" w:customStyle="1" w:styleId="112">
    <w:name w:val="封面标准文稿编辑信息"/>
    <w:basedOn w:val="111"/>
    <w:uiPriority w:val="0"/>
    <w:pPr>
      <w:framePr/>
      <w:spacing w:before="180" w:line="180" w:lineRule="exact"/>
    </w:pPr>
    <w:rPr>
      <w:sz w:val="21"/>
    </w:rPr>
  </w:style>
  <w:style w:type="paragraph" w:customStyle="1" w:styleId="113">
    <w:name w:val="封面正文"/>
    <w:qFormat/>
    <w:uiPriority w:val="0"/>
    <w:pPr>
      <w:jc w:val="both"/>
    </w:pPr>
    <w:rPr>
      <w:rFonts w:ascii="Times New Roman" w:hAnsi="Times New Roman" w:eastAsia="宋体" w:cs="Times New Roman"/>
      <w:lang w:val="en-US" w:eastAsia="zh-CN" w:bidi="ar-SA"/>
    </w:rPr>
  </w:style>
  <w:style w:type="paragraph" w:customStyle="1" w:styleId="114">
    <w:name w:val="附录标识"/>
    <w:basedOn w:val="1"/>
    <w:next w:val="42"/>
    <w:qFormat/>
    <w:uiPriority w:val="0"/>
    <w:pPr>
      <w:keepNext/>
      <w:numPr>
        <w:ilvl w:val="0"/>
        <w:numId w:val="7"/>
      </w:numPr>
      <w:shd w:val="clear" w:color="FFFFFF" w:fill="FFFFFF"/>
      <w:tabs>
        <w:tab w:val="left" w:pos="6405"/>
      </w:tabs>
      <w:spacing w:before="640" w:after="280"/>
      <w:jc w:val="center"/>
      <w:outlineLvl w:val="0"/>
    </w:pPr>
    <w:rPr>
      <w:rFonts w:ascii="黑体" w:hAnsi="Times New Roman" w:eastAsia="黑体" w:cs="Times New Roman"/>
      <w:sz w:val="21"/>
      <w:szCs w:val="20"/>
    </w:rPr>
  </w:style>
  <w:style w:type="paragraph" w:customStyle="1" w:styleId="115">
    <w:name w:val="附录标题"/>
    <w:basedOn w:val="42"/>
    <w:next w:val="42"/>
    <w:qFormat/>
    <w:uiPriority w:val="0"/>
    <w:pPr>
      <w:ind w:firstLine="0" w:firstLineChars="0"/>
      <w:jc w:val="center"/>
    </w:pPr>
    <w:rPr>
      <w:rFonts w:ascii="黑体" w:eastAsia="黑体"/>
    </w:rPr>
  </w:style>
  <w:style w:type="paragraph" w:customStyle="1" w:styleId="116">
    <w:name w:val="附录表标号"/>
    <w:basedOn w:val="1"/>
    <w:next w:val="42"/>
    <w:qFormat/>
    <w:uiPriority w:val="0"/>
    <w:pPr>
      <w:widowControl w:val="0"/>
      <w:numPr>
        <w:ilvl w:val="0"/>
        <w:numId w:val="8"/>
      </w:numPr>
      <w:spacing w:line="14" w:lineRule="exact"/>
      <w:ind w:left="811" w:hanging="448"/>
      <w:jc w:val="center"/>
      <w:outlineLvl w:val="0"/>
    </w:pPr>
    <w:rPr>
      <w:rFonts w:ascii="Times New Roman" w:hAnsi="Times New Roman" w:cs="Times New Roman"/>
      <w:color w:val="FFFFFF"/>
      <w:kern w:val="2"/>
      <w:sz w:val="21"/>
    </w:rPr>
  </w:style>
  <w:style w:type="paragraph" w:customStyle="1" w:styleId="117">
    <w:name w:val="附录表标题"/>
    <w:basedOn w:val="1"/>
    <w:next w:val="42"/>
    <w:qFormat/>
    <w:uiPriority w:val="0"/>
    <w:pPr>
      <w:widowControl w:val="0"/>
      <w:numPr>
        <w:ilvl w:val="1"/>
        <w:numId w:val="8"/>
      </w:numPr>
      <w:tabs>
        <w:tab w:val="left" w:pos="0"/>
        <w:tab w:val="left" w:pos="180"/>
      </w:tabs>
      <w:spacing w:beforeLines="50" w:afterLines="50"/>
      <w:ind w:left="0" w:firstLine="0"/>
      <w:jc w:val="center"/>
    </w:pPr>
    <w:rPr>
      <w:rFonts w:ascii="黑体" w:hAnsi="Times New Roman" w:eastAsia="黑体" w:cs="Times New Roman"/>
      <w:kern w:val="2"/>
      <w:sz w:val="21"/>
      <w:szCs w:val="21"/>
    </w:rPr>
  </w:style>
  <w:style w:type="paragraph" w:customStyle="1" w:styleId="118">
    <w:name w:val="附录二级条标题"/>
    <w:basedOn w:val="1"/>
    <w:next w:val="42"/>
    <w:qFormat/>
    <w:uiPriority w:val="0"/>
    <w:pPr>
      <w:numPr>
        <w:ilvl w:val="3"/>
        <w:numId w:val="7"/>
      </w:numPr>
      <w:tabs>
        <w:tab w:val="left" w:pos="360"/>
      </w:tabs>
      <w:wordWrap w:val="0"/>
      <w:overflowPunct w:val="0"/>
      <w:autoSpaceDE w:val="0"/>
      <w:autoSpaceDN w:val="0"/>
      <w:spacing w:beforeLines="50" w:afterLines="50"/>
      <w:jc w:val="both"/>
      <w:textAlignment w:val="baseline"/>
      <w:outlineLvl w:val="3"/>
    </w:pPr>
    <w:rPr>
      <w:rFonts w:ascii="黑体" w:hAnsi="Times New Roman" w:eastAsia="黑体" w:cs="Times New Roman"/>
      <w:kern w:val="21"/>
      <w:sz w:val="21"/>
      <w:szCs w:val="20"/>
    </w:rPr>
  </w:style>
  <w:style w:type="paragraph" w:customStyle="1" w:styleId="119">
    <w:name w:val="附录二级无"/>
    <w:basedOn w:val="118"/>
    <w:qFormat/>
    <w:uiPriority w:val="0"/>
    <w:pPr>
      <w:tabs>
        <w:tab w:val="clear" w:pos="360"/>
      </w:tabs>
      <w:spacing w:beforeLines="0" w:afterLines="0"/>
    </w:pPr>
    <w:rPr>
      <w:rFonts w:ascii="宋体" w:eastAsia="宋体"/>
      <w:szCs w:val="21"/>
    </w:rPr>
  </w:style>
  <w:style w:type="paragraph" w:customStyle="1" w:styleId="120">
    <w:name w:val="附录公式"/>
    <w:basedOn w:val="42"/>
    <w:next w:val="42"/>
    <w:link w:val="251"/>
    <w:qFormat/>
    <w:uiPriority w:val="0"/>
  </w:style>
  <w:style w:type="paragraph" w:customStyle="1" w:styleId="121">
    <w:name w:val="附录公式编号制表符"/>
    <w:basedOn w:val="1"/>
    <w:next w:val="42"/>
    <w:qFormat/>
    <w:uiPriority w:val="0"/>
    <w:pPr>
      <w:tabs>
        <w:tab w:val="center" w:pos="4201"/>
        <w:tab w:val="right" w:leader="dot" w:pos="9298"/>
      </w:tabs>
      <w:autoSpaceDE w:val="0"/>
      <w:autoSpaceDN w:val="0"/>
      <w:jc w:val="both"/>
    </w:pPr>
    <w:rPr>
      <w:rFonts w:hAnsi="Times New Roman" w:cs="Times New Roman"/>
      <w:sz w:val="21"/>
      <w:szCs w:val="20"/>
    </w:rPr>
  </w:style>
  <w:style w:type="paragraph" w:customStyle="1" w:styleId="122">
    <w:name w:val="附录三级条标题"/>
    <w:basedOn w:val="118"/>
    <w:next w:val="42"/>
    <w:qFormat/>
    <w:uiPriority w:val="0"/>
    <w:pPr>
      <w:numPr>
        <w:ilvl w:val="4"/>
      </w:numPr>
      <w:outlineLvl w:val="4"/>
    </w:pPr>
  </w:style>
  <w:style w:type="paragraph" w:customStyle="1" w:styleId="123">
    <w:name w:val="附录三级无"/>
    <w:basedOn w:val="122"/>
    <w:qFormat/>
    <w:uiPriority w:val="0"/>
    <w:pPr>
      <w:tabs>
        <w:tab w:val="clear" w:pos="360"/>
      </w:tabs>
      <w:spacing w:beforeLines="0" w:afterLines="0"/>
    </w:pPr>
    <w:rPr>
      <w:rFonts w:ascii="宋体" w:eastAsia="宋体"/>
      <w:szCs w:val="21"/>
    </w:rPr>
  </w:style>
  <w:style w:type="paragraph" w:customStyle="1" w:styleId="124">
    <w:name w:val="附录数字编号列项（二级）"/>
    <w:qFormat/>
    <w:uiPriority w:val="0"/>
    <w:pPr>
      <w:numPr>
        <w:ilvl w:val="1"/>
        <w:numId w:val="9"/>
      </w:numPr>
      <w:tabs>
        <w:tab w:val="left" w:pos="839"/>
        <w:tab w:val="clear" w:pos="840"/>
      </w:tabs>
    </w:pPr>
    <w:rPr>
      <w:rFonts w:ascii="宋体" w:hAnsi="Times New Roman" w:eastAsia="宋体" w:cs="Times New Roman"/>
      <w:sz w:val="21"/>
      <w:lang w:val="en-US" w:eastAsia="zh-CN" w:bidi="ar-SA"/>
    </w:rPr>
  </w:style>
  <w:style w:type="paragraph" w:customStyle="1" w:styleId="125">
    <w:name w:val="附录四级条标题"/>
    <w:basedOn w:val="122"/>
    <w:next w:val="42"/>
    <w:qFormat/>
    <w:uiPriority w:val="0"/>
    <w:pPr>
      <w:numPr>
        <w:ilvl w:val="5"/>
      </w:numPr>
      <w:outlineLvl w:val="5"/>
    </w:pPr>
  </w:style>
  <w:style w:type="paragraph" w:customStyle="1" w:styleId="126">
    <w:name w:val="附录四级无"/>
    <w:basedOn w:val="125"/>
    <w:qFormat/>
    <w:uiPriority w:val="0"/>
    <w:pPr>
      <w:tabs>
        <w:tab w:val="clear" w:pos="360"/>
      </w:tabs>
      <w:spacing w:beforeLines="0" w:afterLines="0"/>
    </w:pPr>
    <w:rPr>
      <w:rFonts w:ascii="宋体" w:eastAsia="宋体"/>
      <w:szCs w:val="21"/>
    </w:rPr>
  </w:style>
  <w:style w:type="paragraph" w:customStyle="1" w:styleId="127">
    <w:name w:val="附录图标号"/>
    <w:basedOn w:val="1"/>
    <w:qFormat/>
    <w:uiPriority w:val="0"/>
    <w:pPr>
      <w:keepNext/>
      <w:pageBreakBefore/>
      <w:numPr>
        <w:ilvl w:val="0"/>
        <w:numId w:val="10"/>
      </w:numPr>
      <w:spacing w:line="14" w:lineRule="exact"/>
      <w:ind w:left="0" w:firstLine="363"/>
      <w:jc w:val="center"/>
      <w:outlineLvl w:val="0"/>
    </w:pPr>
    <w:rPr>
      <w:rFonts w:ascii="Times New Roman" w:hAnsi="Times New Roman" w:cs="Times New Roman"/>
      <w:color w:val="FFFFFF"/>
      <w:kern w:val="2"/>
      <w:sz w:val="21"/>
    </w:rPr>
  </w:style>
  <w:style w:type="paragraph" w:customStyle="1" w:styleId="128">
    <w:name w:val="附录图标题"/>
    <w:basedOn w:val="1"/>
    <w:next w:val="42"/>
    <w:qFormat/>
    <w:uiPriority w:val="0"/>
    <w:pPr>
      <w:widowControl w:val="0"/>
      <w:numPr>
        <w:ilvl w:val="1"/>
        <w:numId w:val="10"/>
      </w:numPr>
      <w:tabs>
        <w:tab w:val="left" w:pos="363"/>
      </w:tabs>
      <w:spacing w:beforeLines="50" w:afterLines="50"/>
      <w:ind w:left="0" w:firstLine="0"/>
      <w:jc w:val="center"/>
    </w:pPr>
    <w:rPr>
      <w:rFonts w:ascii="黑体" w:hAnsi="Times New Roman" w:eastAsia="黑体" w:cs="Times New Roman"/>
      <w:kern w:val="2"/>
      <w:sz w:val="21"/>
      <w:szCs w:val="21"/>
    </w:rPr>
  </w:style>
  <w:style w:type="paragraph" w:customStyle="1" w:styleId="129">
    <w:name w:val="附录五级条标题"/>
    <w:basedOn w:val="125"/>
    <w:next w:val="42"/>
    <w:qFormat/>
    <w:uiPriority w:val="0"/>
    <w:pPr>
      <w:numPr>
        <w:ilvl w:val="6"/>
      </w:numPr>
      <w:outlineLvl w:val="6"/>
    </w:pPr>
  </w:style>
  <w:style w:type="paragraph" w:customStyle="1" w:styleId="130">
    <w:name w:val="附录五级无"/>
    <w:basedOn w:val="129"/>
    <w:qFormat/>
    <w:uiPriority w:val="0"/>
    <w:pPr>
      <w:tabs>
        <w:tab w:val="clear" w:pos="360"/>
      </w:tabs>
      <w:spacing w:beforeLines="0" w:afterLines="0"/>
    </w:pPr>
    <w:rPr>
      <w:rFonts w:ascii="宋体" w:eastAsia="宋体"/>
      <w:szCs w:val="21"/>
    </w:rPr>
  </w:style>
  <w:style w:type="paragraph" w:customStyle="1" w:styleId="131">
    <w:name w:val="附录章标题"/>
    <w:next w:val="42"/>
    <w:qFormat/>
    <w:uiPriority w:val="0"/>
    <w:pPr>
      <w:numPr>
        <w:ilvl w:val="1"/>
        <w:numId w:val="7"/>
      </w:num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32">
    <w:name w:val="附录一级条标题"/>
    <w:basedOn w:val="131"/>
    <w:next w:val="42"/>
    <w:qFormat/>
    <w:uiPriority w:val="0"/>
    <w:pPr>
      <w:numPr>
        <w:ilvl w:val="2"/>
      </w:numPr>
      <w:autoSpaceDN w:val="0"/>
      <w:spacing w:beforeLines="50" w:afterLines="50"/>
      <w:outlineLvl w:val="2"/>
    </w:pPr>
  </w:style>
  <w:style w:type="paragraph" w:customStyle="1" w:styleId="133">
    <w:name w:val="附录一级无"/>
    <w:basedOn w:val="132"/>
    <w:qFormat/>
    <w:uiPriority w:val="0"/>
    <w:pPr>
      <w:tabs>
        <w:tab w:val="clear" w:pos="360"/>
      </w:tabs>
      <w:spacing w:beforeLines="0" w:afterLines="0"/>
    </w:pPr>
    <w:rPr>
      <w:rFonts w:ascii="宋体" w:eastAsia="宋体"/>
      <w:szCs w:val="21"/>
    </w:rPr>
  </w:style>
  <w:style w:type="paragraph" w:customStyle="1" w:styleId="134">
    <w:name w:val="附录字母编号列项（一级）"/>
    <w:qFormat/>
    <w:uiPriority w:val="0"/>
    <w:pPr>
      <w:numPr>
        <w:ilvl w:val="0"/>
        <w:numId w:val="9"/>
      </w:numPr>
    </w:pPr>
    <w:rPr>
      <w:rFonts w:ascii="宋体" w:hAnsi="Times New Roman" w:eastAsia="宋体" w:cs="Times New Roman"/>
      <w:sz w:val="21"/>
      <w:lang w:val="en-US" w:eastAsia="zh-CN" w:bidi="ar-SA"/>
    </w:rPr>
  </w:style>
  <w:style w:type="paragraph" w:customStyle="1" w:styleId="135">
    <w:name w:val="列项说明"/>
    <w:basedOn w:val="1"/>
    <w:qFormat/>
    <w:uiPriority w:val="0"/>
    <w:pPr>
      <w:widowControl w:val="0"/>
      <w:adjustRightInd w:val="0"/>
      <w:spacing w:line="320" w:lineRule="exact"/>
      <w:ind w:left="400" w:leftChars="200" w:hanging="200" w:hangingChars="200"/>
      <w:textAlignment w:val="baseline"/>
    </w:pPr>
    <w:rPr>
      <w:rFonts w:hAnsi="Times New Roman" w:cs="Times New Roman"/>
      <w:sz w:val="21"/>
      <w:szCs w:val="20"/>
    </w:rPr>
  </w:style>
  <w:style w:type="paragraph" w:customStyle="1" w:styleId="136">
    <w:name w:val="列项说明数字编号"/>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137">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38">
    <w:name w:val="其他标准标志"/>
    <w:basedOn w:val="97"/>
    <w:qFormat/>
    <w:uiPriority w:val="0"/>
    <w:pPr>
      <w:framePr w:w="6101" w:vAnchor="page" w:hAnchor="page" w:x="4673" w:y="942"/>
    </w:pPr>
    <w:rPr>
      <w:w w:val="130"/>
    </w:rPr>
  </w:style>
  <w:style w:type="paragraph" w:customStyle="1" w:styleId="139">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40">
    <w:name w:val="其他发布部门"/>
    <w:basedOn w:val="104"/>
    <w:qFormat/>
    <w:uiPriority w:val="0"/>
    <w:pPr>
      <w:framePr w:y="15310"/>
      <w:spacing w:line="0" w:lineRule="atLeast"/>
    </w:pPr>
    <w:rPr>
      <w:rFonts w:ascii="黑体" w:eastAsia="黑体"/>
      <w:b w:val="0"/>
    </w:rPr>
  </w:style>
  <w:style w:type="paragraph" w:customStyle="1" w:styleId="141">
    <w:name w:val="前言、引言标题"/>
    <w:next w:val="42"/>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42">
    <w:name w:val="三级无"/>
    <w:basedOn w:val="82"/>
    <w:uiPriority w:val="0"/>
    <w:pPr>
      <w:spacing w:beforeLines="0" w:afterLines="0"/>
    </w:pPr>
    <w:rPr>
      <w:rFonts w:ascii="宋体" w:eastAsia="宋体"/>
    </w:rPr>
  </w:style>
  <w:style w:type="paragraph" w:customStyle="1" w:styleId="143">
    <w:name w:val="实施日期"/>
    <w:basedOn w:val="105"/>
    <w:uiPriority w:val="0"/>
    <w:pPr>
      <w:framePr w:wrap="around" w:vAnchor="page" w:hAnchor="text" w:y="1"/>
      <w:jc w:val="right"/>
    </w:pPr>
  </w:style>
  <w:style w:type="paragraph" w:customStyle="1" w:styleId="144">
    <w:name w:val="示例后文字"/>
    <w:basedOn w:val="42"/>
    <w:next w:val="42"/>
    <w:qFormat/>
    <w:uiPriority w:val="0"/>
    <w:pPr>
      <w:ind w:firstLine="360"/>
    </w:pPr>
    <w:rPr>
      <w:sz w:val="18"/>
    </w:rPr>
  </w:style>
  <w:style w:type="paragraph" w:customStyle="1" w:styleId="145">
    <w:name w:val="首示例"/>
    <w:next w:val="42"/>
    <w:link w:val="252"/>
    <w:qFormat/>
    <w:uiPriority w:val="0"/>
    <w:pPr>
      <w:tabs>
        <w:tab w:val="left" w:pos="360"/>
      </w:tabs>
    </w:pPr>
    <w:rPr>
      <w:rFonts w:ascii="宋体" w:hAnsi="宋体" w:eastAsia="宋体" w:cs="Times New Roman"/>
      <w:kern w:val="2"/>
      <w:sz w:val="18"/>
      <w:szCs w:val="18"/>
      <w:lang w:val="en-US" w:eastAsia="zh-CN" w:bidi="ar-SA"/>
    </w:rPr>
  </w:style>
  <w:style w:type="paragraph" w:customStyle="1" w:styleId="146">
    <w:name w:val="四级无"/>
    <w:basedOn w:val="86"/>
    <w:qFormat/>
    <w:uiPriority w:val="0"/>
    <w:pPr>
      <w:spacing w:beforeLines="0" w:afterLines="0"/>
    </w:pPr>
    <w:rPr>
      <w:rFonts w:ascii="宋体" w:eastAsia="宋体"/>
    </w:rPr>
  </w:style>
  <w:style w:type="paragraph" w:customStyle="1" w:styleId="147">
    <w:name w:val="条文脚注"/>
    <w:basedOn w:val="43"/>
    <w:uiPriority w:val="0"/>
    <w:pPr>
      <w:numPr>
        <w:numId w:val="0"/>
      </w:numPr>
      <w:jc w:val="both"/>
    </w:pPr>
  </w:style>
  <w:style w:type="paragraph" w:customStyle="1" w:styleId="148">
    <w:name w:val="图标脚注说明"/>
    <w:basedOn w:val="42"/>
    <w:uiPriority w:val="0"/>
    <w:pPr>
      <w:ind w:left="840" w:hanging="420" w:firstLineChars="0"/>
    </w:pPr>
    <w:rPr>
      <w:sz w:val="18"/>
      <w:szCs w:val="18"/>
    </w:rPr>
  </w:style>
  <w:style w:type="paragraph" w:customStyle="1" w:styleId="149">
    <w:name w:val="图表脚注说明"/>
    <w:basedOn w:val="1"/>
    <w:qFormat/>
    <w:uiPriority w:val="0"/>
    <w:pPr>
      <w:widowControl w:val="0"/>
      <w:ind w:left="544" w:hanging="181"/>
      <w:jc w:val="both"/>
    </w:pPr>
    <w:rPr>
      <w:rFonts w:hAnsi="Times New Roman" w:cs="Times New Roman"/>
      <w:kern w:val="2"/>
      <w:sz w:val="18"/>
      <w:szCs w:val="18"/>
    </w:rPr>
  </w:style>
  <w:style w:type="paragraph" w:customStyle="1" w:styleId="150">
    <w:name w:val="图的脚注"/>
    <w:next w:val="42"/>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51">
    <w:name w:val="文献分类号"/>
    <w:qFormat/>
    <w:uiPriority w:val="0"/>
    <w:pPr>
      <w:widowControl w:val="0"/>
      <w:textAlignment w:val="center"/>
    </w:pPr>
    <w:rPr>
      <w:rFonts w:ascii="黑体" w:hAnsi="Times New Roman" w:eastAsia="黑体" w:cs="Times New Roman"/>
      <w:sz w:val="21"/>
      <w:szCs w:val="21"/>
      <w:lang w:val="en-US" w:eastAsia="zh-CN" w:bidi="ar-SA"/>
    </w:rPr>
  </w:style>
  <w:style w:type="paragraph" w:customStyle="1" w:styleId="152">
    <w:name w:val="五级无"/>
    <w:basedOn w:val="87"/>
    <w:uiPriority w:val="0"/>
    <w:pPr>
      <w:spacing w:beforeLines="0" w:afterLines="0"/>
    </w:pPr>
    <w:rPr>
      <w:rFonts w:ascii="宋体" w:eastAsia="宋体"/>
    </w:rPr>
  </w:style>
  <w:style w:type="paragraph" w:customStyle="1" w:styleId="153">
    <w:name w:val="一级无"/>
    <w:basedOn w:val="73"/>
    <w:uiPriority w:val="0"/>
    <w:pPr>
      <w:spacing w:beforeLines="0" w:afterLines="0"/>
    </w:pPr>
    <w:rPr>
      <w:rFonts w:ascii="宋体" w:eastAsia="宋体"/>
    </w:rPr>
  </w:style>
  <w:style w:type="paragraph" w:customStyle="1" w:styleId="154">
    <w:name w:val="正文表标题"/>
    <w:next w:val="42"/>
    <w:qFormat/>
    <w:uiPriority w:val="0"/>
    <w:pPr>
      <w:tabs>
        <w:tab w:val="left" w:pos="360"/>
      </w:tabs>
      <w:spacing w:beforeLines="50" w:afterLines="50"/>
      <w:ind w:left="3970"/>
      <w:jc w:val="center"/>
    </w:pPr>
    <w:rPr>
      <w:rFonts w:ascii="黑体" w:hAnsi="Times New Roman" w:eastAsia="黑体" w:cs="Times New Roman"/>
      <w:sz w:val="21"/>
      <w:lang w:val="en-US" w:eastAsia="zh-CN" w:bidi="ar-SA"/>
    </w:rPr>
  </w:style>
  <w:style w:type="paragraph" w:customStyle="1" w:styleId="155">
    <w:name w:val="正文公式编号制表符"/>
    <w:basedOn w:val="42"/>
    <w:next w:val="42"/>
    <w:qFormat/>
    <w:uiPriority w:val="0"/>
    <w:pPr>
      <w:ind w:firstLine="0" w:firstLineChars="0"/>
    </w:pPr>
  </w:style>
  <w:style w:type="paragraph" w:customStyle="1" w:styleId="156">
    <w:name w:val="正文图标题"/>
    <w:next w:val="42"/>
    <w:qFormat/>
    <w:uiPriority w:val="0"/>
    <w:p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57">
    <w:name w:val="终结线"/>
    <w:basedOn w:val="1"/>
    <w:qFormat/>
    <w:uiPriority w:val="0"/>
    <w:pPr>
      <w:framePr w:hSpace="181" w:vSpace="181" w:wrap="around" w:vAnchor="text" w:hAnchor="margin" w:xAlign="center" w:y="285"/>
      <w:widowControl w:val="0"/>
      <w:jc w:val="both"/>
    </w:pPr>
    <w:rPr>
      <w:rFonts w:ascii="Times New Roman" w:hAnsi="Times New Roman" w:cs="Times New Roman"/>
      <w:kern w:val="2"/>
      <w:sz w:val="21"/>
    </w:rPr>
  </w:style>
  <w:style w:type="paragraph" w:customStyle="1" w:styleId="158">
    <w:name w:val="其他发布日期"/>
    <w:basedOn w:val="105"/>
    <w:uiPriority w:val="0"/>
    <w:pPr>
      <w:framePr w:wrap="around" w:vAnchor="page" w:hAnchor="text" w:x="1419" w:y="1"/>
    </w:pPr>
  </w:style>
  <w:style w:type="paragraph" w:customStyle="1" w:styleId="159">
    <w:name w:val="其他实施日期"/>
    <w:basedOn w:val="143"/>
    <w:uiPriority w:val="0"/>
    <w:pPr>
      <w:framePr/>
    </w:pPr>
  </w:style>
  <w:style w:type="paragraph" w:customStyle="1" w:styleId="160">
    <w:name w:val="封面标准名称2"/>
    <w:basedOn w:val="108"/>
    <w:qFormat/>
    <w:uiPriority w:val="0"/>
    <w:pPr>
      <w:framePr w:wrap="around" w:vAnchor="margin" w:hAnchor="text" w:y="4469"/>
      <w:spacing w:beforeLines="630"/>
    </w:pPr>
  </w:style>
  <w:style w:type="paragraph" w:customStyle="1" w:styleId="161">
    <w:name w:val="封面标准英文名称2"/>
    <w:basedOn w:val="109"/>
    <w:uiPriority w:val="0"/>
    <w:pPr>
      <w:framePr w:y="4469"/>
    </w:pPr>
  </w:style>
  <w:style w:type="paragraph" w:customStyle="1" w:styleId="162">
    <w:name w:val="封面一致性程度标识2"/>
    <w:basedOn w:val="110"/>
    <w:uiPriority w:val="0"/>
    <w:pPr>
      <w:framePr w:y="4469"/>
    </w:pPr>
  </w:style>
  <w:style w:type="paragraph" w:customStyle="1" w:styleId="163">
    <w:name w:val="封面标准文稿类别2"/>
    <w:basedOn w:val="111"/>
    <w:uiPriority w:val="0"/>
    <w:pPr>
      <w:framePr w:y="4469"/>
    </w:pPr>
  </w:style>
  <w:style w:type="paragraph" w:customStyle="1" w:styleId="164">
    <w:name w:val="封面标准文稿编辑信息2"/>
    <w:basedOn w:val="112"/>
    <w:qFormat/>
    <w:uiPriority w:val="0"/>
    <w:pPr>
      <w:framePr w:y="4469"/>
    </w:pPr>
  </w:style>
  <w:style w:type="paragraph" w:customStyle="1" w:styleId="165">
    <w:name w:val="p0"/>
    <w:basedOn w:val="1"/>
    <w:uiPriority w:val="0"/>
    <w:rPr>
      <w:rFonts w:ascii="Arial" w:hAnsi="Arial" w:cs="Arial"/>
    </w:rPr>
  </w:style>
  <w:style w:type="paragraph" w:customStyle="1" w:styleId="166">
    <w:name w:val="p17"/>
    <w:basedOn w:val="1"/>
    <w:qFormat/>
    <w:uiPriority w:val="0"/>
    <w:pPr>
      <w:ind w:firstLine="420"/>
      <w:jc w:val="both"/>
    </w:pPr>
    <w:rPr>
      <w:sz w:val="21"/>
      <w:szCs w:val="21"/>
    </w:rPr>
  </w:style>
  <w:style w:type="paragraph" w:customStyle="1" w:styleId="167">
    <w:name w:val="p15"/>
    <w:basedOn w:val="1"/>
    <w:qFormat/>
    <w:uiPriority w:val="0"/>
    <w:pPr>
      <w:ind w:firstLine="420"/>
      <w:jc w:val="both"/>
    </w:pPr>
    <w:rPr>
      <w:sz w:val="21"/>
      <w:szCs w:val="21"/>
    </w:rPr>
  </w:style>
  <w:style w:type="paragraph" w:customStyle="1" w:styleId="168">
    <w:name w:val="p16"/>
    <w:basedOn w:val="1"/>
    <w:uiPriority w:val="0"/>
    <w:pPr>
      <w:spacing w:before="156" w:after="156"/>
    </w:pPr>
    <w:rPr>
      <w:rFonts w:ascii="黑体" w:eastAsia="黑体"/>
      <w:sz w:val="21"/>
      <w:szCs w:val="21"/>
    </w:rPr>
  </w:style>
  <w:style w:type="paragraph" w:customStyle="1" w:styleId="169">
    <w:name w:val="p18"/>
    <w:basedOn w:val="1"/>
    <w:qFormat/>
    <w:uiPriority w:val="0"/>
    <w:pPr>
      <w:spacing w:before="156" w:after="156"/>
    </w:pPr>
    <w:rPr>
      <w:rFonts w:ascii="黑体" w:eastAsia="黑体"/>
      <w:sz w:val="21"/>
      <w:szCs w:val="21"/>
    </w:rPr>
  </w:style>
  <w:style w:type="paragraph" w:customStyle="1" w:styleId="170">
    <w:name w:val="p19"/>
    <w:basedOn w:val="1"/>
    <w:qFormat/>
    <w:uiPriority w:val="0"/>
    <w:pPr>
      <w:ind w:firstLine="420"/>
      <w:jc w:val="both"/>
    </w:pPr>
    <w:rPr>
      <w:sz w:val="21"/>
      <w:szCs w:val="21"/>
    </w:rPr>
  </w:style>
  <w:style w:type="paragraph" w:customStyle="1" w:styleId="171">
    <w:name w:val="Char Char Char"/>
    <w:basedOn w:val="1"/>
    <w:qFormat/>
    <w:uiPriority w:val="0"/>
    <w:pPr>
      <w:widowControl w:val="0"/>
      <w:tabs>
        <w:tab w:val="left" w:pos="360"/>
      </w:tabs>
      <w:jc w:val="both"/>
    </w:pPr>
    <w:rPr>
      <w:rFonts w:ascii="Times New Roman" w:hAnsi="Times New Roman" w:cs="Times New Roman"/>
      <w:kern w:val="2"/>
    </w:rPr>
  </w:style>
  <w:style w:type="paragraph" w:customStyle="1" w:styleId="172">
    <w:name w:val="二级无标题条"/>
    <w:basedOn w:val="1"/>
    <w:qFormat/>
    <w:uiPriority w:val="0"/>
    <w:pPr>
      <w:widowControl w:val="0"/>
      <w:numPr>
        <w:ilvl w:val="3"/>
        <w:numId w:val="11"/>
      </w:numPr>
      <w:jc w:val="both"/>
    </w:pPr>
    <w:rPr>
      <w:rFonts w:ascii="Times New Roman" w:hAnsi="Times New Roman" w:cs="Times New Roman"/>
      <w:kern w:val="2"/>
      <w:sz w:val="21"/>
    </w:rPr>
  </w:style>
  <w:style w:type="paragraph" w:customStyle="1" w:styleId="173">
    <w:name w:val="三级无标题条"/>
    <w:basedOn w:val="1"/>
    <w:uiPriority w:val="0"/>
    <w:pPr>
      <w:widowControl w:val="0"/>
      <w:numPr>
        <w:ilvl w:val="4"/>
        <w:numId w:val="11"/>
      </w:numPr>
      <w:jc w:val="both"/>
    </w:pPr>
    <w:rPr>
      <w:rFonts w:ascii="Times New Roman" w:hAnsi="Times New Roman" w:cs="Times New Roman"/>
      <w:kern w:val="2"/>
      <w:sz w:val="21"/>
    </w:rPr>
  </w:style>
  <w:style w:type="paragraph" w:customStyle="1" w:styleId="174">
    <w:name w:val="四级无标题条"/>
    <w:basedOn w:val="1"/>
    <w:uiPriority w:val="0"/>
    <w:pPr>
      <w:widowControl w:val="0"/>
      <w:numPr>
        <w:ilvl w:val="5"/>
        <w:numId w:val="11"/>
      </w:numPr>
      <w:jc w:val="both"/>
    </w:pPr>
    <w:rPr>
      <w:rFonts w:ascii="Times New Roman" w:hAnsi="Times New Roman" w:cs="Times New Roman"/>
      <w:kern w:val="2"/>
      <w:sz w:val="21"/>
    </w:rPr>
  </w:style>
  <w:style w:type="paragraph" w:customStyle="1" w:styleId="175">
    <w:name w:val="五级无标题条"/>
    <w:basedOn w:val="1"/>
    <w:qFormat/>
    <w:uiPriority w:val="0"/>
    <w:pPr>
      <w:widowControl w:val="0"/>
      <w:numPr>
        <w:ilvl w:val="6"/>
        <w:numId w:val="11"/>
      </w:numPr>
      <w:jc w:val="both"/>
    </w:pPr>
    <w:rPr>
      <w:rFonts w:ascii="Times New Roman" w:hAnsi="Times New Roman" w:cs="Times New Roman"/>
      <w:kern w:val="2"/>
      <w:sz w:val="21"/>
    </w:rPr>
  </w:style>
  <w:style w:type="paragraph" w:customStyle="1" w:styleId="176">
    <w:name w:val="一级无标题条"/>
    <w:basedOn w:val="1"/>
    <w:qFormat/>
    <w:uiPriority w:val="0"/>
    <w:pPr>
      <w:widowControl w:val="0"/>
      <w:numPr>
        <w:ilvl w:val="2"/>
        <w:numId w:val="11"/>
      </w:numPr>
      <w:jc w:val="both"/>
    </w:pPr>
    <w:rPr>
      <w:rFonts w:ascii="Times New Roman" w:hAnsi="Times New Roman" w:cs="Times New Roman"/>
      <w:kern w:val="2"/>
      <w:sz w:val="21"/>
    </w:rPr>
  </w:style>
  <w:style w:type="paragraph" w:customStyle="1" w:styleId="177">
    <w:name w:val="TOC 标题1"/>
    <w:basedOn w:val="4"/>
    <w:next w:val="1"/>
    <w:unhideWhenUsed/>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78">
    <w:name w:val="样式7"/>
    <w:basedOn w:val="86"/>
    <w:qFormat/>
    <w:uiPriority w:val="0"/>
    <w:pPr>
      <w:numPr>
        <w:numId w:val="0"/>
      </w:numPr>
      <w:spacing w:before="156" w:after="156" w:line="360" w:lineRule="auto"/>
      <w:outlineLvl w:val="4"/>
    </w:pPr>
  </w:style>
  <w:style w:type="paragraph" w:customStyle="1" w:styleId="179">
    <w:name w:val="一级样式"/>
    <w:basedOn w:val="1"/>
    <w:uiPriority w:val="0"/>
    <w:pPr>
      <w:widowControl w:val="0"/>
      <w:autoSpaceDE w:val="0"/>
      <w:autoSpaceDN w:val="0"/>
      <w:adjustRightInd w:val="0"/>
      <w:jc w:val="center"/>
      <w:outlineLvl w:val="0"/>
    </w:pPr>
    <w:rPr>
      <w:rFonts w:ascii="黑体" w:hAnsi="Times New Roman" w:eastAsia="黑体" w:cs="Sim Sun"/>
      <w:sz w:val="30"/>
      <w:szCs w:val="30"/>
    </w:rPr>
  </w:style>
  <w:style w:type="paragraph" w:customStyle="1" w:styleId="180">
    <w:name w:val="Char Char1 Char Char Char Char Char Char"/>
    <w:basedOn w:val="1"/>
    <w:qFormat/>
    <w:uiPriority w:val="0"/>
    <w:pPr>
      <w:spacing w:after="160" w:line="240" w:lineRule="exact"/>
    </w:pPr>
    <w:rPr>
      <w:rFonts w:ascii="Verdana" w:hAnsi="Verdana" w:eastAsia="仿宋_GB2312" w:cs="Times New Roman"/>
      <w:szCs w:val="20"/>
      <w:lang w:eastAsia="en-US"/>
    </w:rPr>
  </w:style>
  <w:style w:type="paragraph" w:customStyle="1" w:styleId="181">
    <w:name w:val="列项——"/>
    <w:uiPriority w:val="0"/>
    <w:pPr>
      <w:widowControl w:val="0"/>
      <w:numPr>
        <w:ilvl w:val="0"/>
        <w:numId w:val="12"/>
      </w:numPr>
      <w:tabs>
        <w:tab w:val="left" w:pos="854"/>
        <w:tab w:val="clear" w:pos="1140"/>
      </w:tabs>
      <w:ind w:left="200" w:leftChars="200" w:hanging="200" w:hangingChars="200"/>
      <w:jc w:val="both"/>
    </w:pPr>
    <w:rPr>
      <w:rFonts w:ascii="宋体" w:hAnsi="Times New Roman" w:eastAsia="宋体" w:cs="Times New Roman"/>
      <w:sz w:val="21"/>
      <w:lang w:val="en-US" w:eastAsia="zh-CN" w:bidi="ar-SA"/>
    </w:rPr>
  </w:style>
  <w:style w:type="paragraph" w:customStyle="1" w:styleId="182">
    <w:name w:val="列项·"/>
    <w:qFormat/>
    <w:uiPriority w:val="0"/>
    <w:pPr>
      <w:numPr>
        <w:ilvl w:val="0"/>
        <w:numId w:val="13"/>
      </w:numPr>
      <w:tabs>
        <w:tab w:val="left" w:pos="840"/>
        <w:tab w:val="clear" w:pos="1140"/>
      </w:tabs>
      <w:ind w:left="840" w:leftChars="200" w:hanging="420" w:hangingChars="200"/>
      <w:jc w:val="both"/>
    </w:pPr>
    <w:rPr>
      <w:rFonts w:ascii="宋体" w:hAnsi="Times New Roman" w:eastAsia="宋体" w:cs="Times New Roman"/>
      <w:sz w:val="21"/>
      <w:lang w:val="en-US" w:eastAsia="zh-CN" w:bidi="ar-SA"/>
    </w:rPr>
  </w:style>
  <w:style w:type="paragraph" w:customStyle="1" w:styleId="183">
    <w:name w:val="图表脚注"/>
    <w:next w:val="42"/>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184">
    <w:name w:val="无标题条"/>
    <w:next w:val="42"/>
    <w:uiPriority w:val="0"/>
    <w:pPr>
      <w:jc w:val="both"/>
    </w:pPr>
    <w:rPr>
      <w:rFonts w:ascii="Times New Roman" w:hAnsi="Times New Roman" w:eastAsia="宋体" w:cs="Times New Roman"/>
      <w:sz w:val="21"/>
      <w:lang w:val="en-US" w:eastAsia="zh-CN" w:bidi="ar-SA"/>
    </w:rPr>
  </w:style>
  <w:style w:type="paragraph" w:customStyle="1" w:styleId="185">
    <w:name w:val="样式 段 + Times New Roman 首行缩进:  2 字符"/>
    <w:basedOn w:val="42"/>
    <w:qFormat/>
    <w:uiPriority w:val="0"/>
    <w:pPr>
      <w:tabs>
        <w:tab w:val="clear" w:pos="4201"/>
        <w:tab w:val="clear" w:pos="9298"/>
      </w:tabs>
      <w:ind w:firstLine="200"/>
    </w:pPr>
    <w:rPr>
      <w:rFonts w:ascii="Times New Roman" w:cs="宋体"/>
      <w:szCs w:val="21"/>
    </w:rPr>
  </w:style>
  <w:style w:type="paragraph" w:customStyle="1" w:styleId="186">
    <w:name w:val="样式 首行缩进:  2 字符 Char"/>
    <w:basedOn w:val="1"/>
    <w:qFormat/>
    <w:uiPriority w:val="0"/>
    <w:pPr>
      <w:widowControl w:val="0"/>
      <w:jc w:val="both"/>
    </w:pPr>
    <w:rPr>
      <w:kern w:val="2"/>
      <w:sz w:val="21"/>
      <w:szCs w:val="28"/>
    </w:rPr>
  </w:style>
  <w:style w:type="paragraph" w:customStyle="1" w:styleId="187">
    <w:name w:val="样式 样式 段 + Times New Roman 首行缩进:  2 字符 + 首行缩进:  2 字符"/>
    <w:basedOn w:val="185"/>
    <w:qFormat/>
    <w:uiPriority w:val="0"/>
    <w:pPr>
      <w:ind w:firstLine="420"/>
    </w:pPr>
  </w:style>
  <w:style w:type="paragraph" w:customStyle="1" w:styleId="188">
    <w:name w:val="样式 一级条标题 + (中文) 楷体_GB2312 四号 加粗"/>
    <w:basedOn w:val="73"/>
    <w:uiPriority w:val="0"/>
    <w:pPr>
      <w:numPr>
        <w:numId w:val="0"/>
      </w:numPr>
    </w:pPr>
    <w:rPr>
      <w:rFonts w:eastAsia="楷体_GB2312"/>
      <w:b/>
      <w:bCs/>
      <w:szCs w:val="20"/>
    </w:rPr>
  </w:style>
  <w:style w:type="paragraph" w:customStyle="1" w:styleId="189">
    <w:name w:val="样式 一级条标题 + (中文) 楷体_GB2312 四号"/>
    <w:basedOn w:val="73"/>
    <w:qFormat/>
    <w:uiPriority w:val="0"/>
    <w:pPr>
      <w:numPr>
        <w:numId w:val="0"/>
      </w:numPr>
      <w:spacing w:line="400" w:lineRule="exact"/>
      <w:ind w:left="945"/>
    </w:pPr>
  </w:style>
  <w:style w:type="paragraph" w:customStyle="1" w:styleId="190">
    <w:name w:val="样式 一级条标题 + (西文) Times New Roman (中文) 楷体_GB2312 四号 加粗"/>
    <w:basedOn w:val="73"/>
    <w:qFormat/>
    <w:uiPriority w:val="0"/>
    <w:pPr>
      <w:numPr>
        <w:numId w:val="0"/>
      </w:numPr>
    </w:pPr>
    <w:rPr>
      <w:rFonts w:ascii="Times New Roman"/>
      <w:b/>
      <w:bCs/>
      <w:szCs w:val="20"/>
    </w:rPr>
  </w:style>
  <w:style w:type="paragraph" w:customStyle="1" w:styleId="191">
    <w:name w:val="样式 一级条标题 + (中文) 楷体_GB2312 四号 加粗1"/>
    <w:basedOn w:val="73"/>
    <w:qFormat/>
    <w:uiPriority w:val="0"/>
    <w:pPr>
      <w:numPr>
        <w:numId w:val="0"/>
      </w:numPr>
    </w:pPr>
    <w:rPr>
      <w:b/>
      <w:bCs/>
      <w:szCs w:val="20"/>
    </w:rPr>
  </w:style>
  <w:style w:type="paragraph" w:customStyle="1" w:styleId="192">
    <w:name w:val="样式 一级条标题 + Times New Roman"/>
    <w:basedOn w:val="73"/>
    <w:qFormat/>
    <w:uiPriority w:val="0"/>
    <w:pPr>
      <w:numPr>
        <w:numId w:val="0"/>
      </w:numPr>
    </w:pPr>
    <w:rPr>
      <w:rFonts w:ascii="Times New Roman"/>
      <w:szCs w:val="20"/>
    </w:rPr>
  </w:style>
  <w:style w:type="paragraph" w:customStyle="1" w:styleId="193">
    <w:name w:val="样式 章标题 + Times New Roman 段前: 0.5 行 段后: 0.5 行"/>
    <w:basedOn w:val="76"/>
    <w:qFormat/>
    <w:uiPriority w:val="0"/>
    <w:pPr>
      <w:numPr>
        <w:ilvl w:val="0"/>
        <w:numId w:val="0"/>
      </w:numPr>
      <w:tabs>
        <w:tab w:val="left" w:pos="1140"/>
      </w:tabs>
      <w:spacing w:beforeLines="50" w:afterLines="50"/>
      <w:ind w:left="726" w:hanging="363"/>
    </w:pPr>
    <w:rPr>
      <w:rFonts w:ascii="Times New Roman" w:eastAsia="宋体" w:cs="宋体"/>
    </w:rPr>
  </w:style>
  <w:style w:type="paragraph" w:customStyle="1" w:styleId="194">
    <w:name w:val="样式 一级条标题 + (西文) Times New Roman (中文) 楷体_GB2312 四号 加粗 段前: 6 磅"/>
    <w:basedOn w:val="73"/>
    <w:uiPriority w:val="0"/>
    <w:pPr>
      <w:numPr>
        <w:numId w:val="0"/>
      </w:numPr>
      <w:spacing w:before="120"/>
    </w:pPr>
    <w:rPr>
      <w:rFonts w:ascii="Times New Roman" w:cs="宋体"/>
      <w:bCs/>
      <w:szCs w:val="20"/>
    </w:rPr>
  </w:style>
  <w:style w:type="paragraph" w:customStyle="1" w:styleId="195">
    <w:name w:val="样式1"/>
    <w:basedOn w:val="186"/>
    <w:uiPriority w:val="0"/>
    <w:pPr>
      <w:ind w:firstLine="420"/>
    </w:pPr>
    <w:rPr>
      <w:bCs/>
      <w:kern w:val="0"/>
    </w:rPr>
  </w:style>
  <w:style w:type="paragraph" w:customStyle="1" w:styleId="196">
    <w:name w:val="样式2"/>
    <w:basedOn w:val="186"/>
    <w:uiPriority w:val="0"/>
    <w:pPr>
      <w:ind w:firstLine="422"/>
    </w:pPr>
    <w:rPr>
      <w:bCs/>
      <w:kern w:val="0"/>
    </w:rPr>
  </w:style>
  <w:style w:type="paragraph" w:customStyle="1" w:styleId="197">
    <w:name w:val="tytytyty"/>
    <w:basedOn w:val="1"/>
    <w:qFormat/>
    <w:uiPriority w:val="0"/>
    <w:pPr>
      <w:widowControl w:val="0"/>
      <w:spacing w:line="360" w:lineRule="auto"/>
      <w:ind w:left="359" w:leftChars="171" w:firstLine="480" w:firstLineChars="200"/>
      <w:jc w:val="both"/>
    </w:pPr>
    <w:rPr>
      <w:rFonts w:ascii="Times New Roman" w:hAnsi="Times New Roman" w:cs="Times New Roman"/>
      <w:kern w:val="2"/>
    </w:rPr>
  </w:style>
  <w:style w:type="paragraph" w:customStyle="1" w:styleId="198">
    <w:name w:val="biaoti1"/>
    <w:basedOn w:val="4"/>
    <w:uiPriority w:val="0"/>
    <w:pPr>
      <w:tabs>
        <w:tab w:val="left" w:pos="432"/>
      </w:tabs>
      <w:spacing w:line="360" w:lineRule="auto"/>
      <w:ind w:left="432" w:hanging="432"/>
    </w:pPr>
  </w:style>
  <w:style w:type="paragraph" w:customStyle="1" w:styleId="199">
    <w:name w:val="biaoti2"/>
    <w:basedOn w:val="5"/>
    <w:uiPriority w:val="0"/>
    <w:pPr>
      <w:tabs>
        <w:tab w:val="left" w:pos="576"/>
      </w:tabs>
      <w:spacing w:beforeLines="0" w:afterLines="0" w:line="360" w:lineRule="auto"/>
      <w:ind w:left="578" w:hanging="578"/>
      <w:jc w:val="both"/>
    </w:pPr>
    <w:rPr>
      <w:rFonts w:cs="Times New Roman"/>
      <w:sz w:val="32"/>
    </w:rPr>
  </w:style>
  <w:style w:type="paragraph" w:customStyle="1" w:styleId="200">
    <w:name w:val="test"/>
    <w:basedOn w:val="1"/>
    <w:uiPriority w:val="0"/>
    <w:pPr>
      <w:widowControl w:val="0"/>
      <w:spacing w:line="360" w:lineRule="auto"/>
      <w:ind w:firstLine="480" w:firstLineChars="200"/>
      <w:jc w:val="both"/>
    </w:pPr>
    <w:rPr>
      <w:rFonts w:ascii="Times New Roman" w:hAnsi="Times New Roman" w:cs="Times New Roman"/>
      <w:kern w:val="2"/>
    </w:rPr>
  </w:style>
  <w:style w:type="paragraph" w:customStyle="1" w:styleId="201">
    <w:name w:val="样式5"/>
    <w:basedOn w:val="1"/>
    <w:uiPriority w:val="0"/>
    <w:pPr>
      <w:widowControl w:val="0"/>
      <w:spacing w:line="360" w:lineRule="auto"/>
      <w:ind w:firstLine="200" w:firstLineChars="200"/>
      <w:jc w:val="both"/>
    </w:pPr>
    <w:rPr>
      <w:rFonts w:ascii="Times New Roman" w:hAnsi="Times New Roman" w:cs="Times New Roman"/>
      <w:kern w:val="2"/>
    </w:rPr>
  </w:style>
  <w:style w:type="paragraph" w:customStyle="1" w:styleId="202">
    <w:name w:val="样式 章标题 + 段前: 0.5 行 段后: 0.5 行"/>
    <w:basedOn w:val="76"/>
    <w:qFormat/>
    <w:uiPriority w:val="0"/>
    <w:pPr>
      <w:numPr>
        <w:ilvl w:val="0"/>
        <w:numId w:val="0"/>
      </w:numPr>
      <w:spacing w:beforeLines="0" w:afterLines="0" w:line="360" w:lineRule="auto"/>
    </w:pPr>
    <w:rPr>
      <w:rFonts w:cs="宋体"/>
      <w:color w:val="000000"/>
      <w:szCs w:val="21"/>
    </w:rPr>
  </w:style>
  <w:style w:type="paragraph" w:customStyle="1" w:styleId="203">
    <w:name w:val="样式 标题 4H44l3sect 1.2.3.4Ref Heading 1rh1sect 1.2.3.41Ref..."/>
    <w:basedOn w:val="8"/>
    <w:qFormat/>
    <w:uiPriority w:val="0"/>
    <w:pPr>
      <w:widowControl/>
      <w:tabs>
        <w:tab w:val="left" w:pos="851"/>
      </w:tabs>
      <w:spacing w:beforeLines="50" w:afterLines="50" w:line="240" w:lineRule="auto"/>
      <w:ind w:left="851" w:hanging="851"/>
      <w:jc w:val="left"/>
    </w:pPr>
    <w:rPr>
      <w:rFonts w:ascii="Arial" w:eastAsia="宋体" w:cs="宋体"/>
      <w:kern w:val="0"/>
      <w:szCs w:val="20"/>
    </w:rPr>
  </w:style>
  <w:style w:type="paragraph" w:customStyle="1" w:styleId="204">
    <w:name w:val="样式3"/>
    <w:basedOn w:val="38"/>
    <w:uiPriority w:val="0"/>
    <w:pPr>
      <w:widowControl/>
      <w:tabs>
        <w:tab w:val="right" w:leader="dot" w:pos="9345"/>
        <w:tab w:val="clear" w:pos="9241"/>
      </w:tabs>
      <w:spacing w:beforeLines="0" w:afterLines="0"/>
      <w:jc w:val="center"/>
    </w:pPr>
    <w:rPr>
      <w:rFonts w:ascii="Arial" w:hAnsi="Arial" w:cs="Arial"/>
      <w:b/>
      <w:bCs/>
      <w:caps/>
      <w:sz w:val="24"/>
      <w:szCs w:val="24"/>
    </w:rPr>
  </w:style>
  <w:style w:type="paragraph" w:customStyle="1" w:styleId="205">
    <w:name w:val="样式 正文文字缩进 + 黑色"/>
    <w:basedOn w:val="24"/>
    <w:qFormat/>
    <w:uiPriority w:val="0"/>
    <w:pPr>
      <w:spacing w:line="360" w:lineRule="auto"/>
      <w:ind w:firstLine="0" w:firstLineChars="0"/>
      <w:outlineLvl w:val="0"/>
    </w:pPr>
    <w:rPr>
      <w:rFonts w:ascii="黑体" w:eastAsia="黑体"/>
      <w:b/>
      <w:color w:val="000000"/>
      <w:sz w:val="30"/>
      <w:szCs w:val="30"/>
    </w:rPr>
  </w:style>
  <w:style w:type="paragraph" w:customStyle="1" w:styleId="206">
    <w:name w:val="样式 样式 标题 4H44l3sect 1.2.3.4Ref Heading 1rh1sect 1.2.3.41Ref... +..."/>
    <w:basedOn w:val="203"/>
    <w:uiPriority w:val="0"/>
    <w:pPr>
      <w:numPr>
        <w:ilvl w:val="0"/>
        <w:numId w:val="14"/>
      </w:numPr>
      <w:tabs>
        <w:tab w:val="clear" w:pos="851"/>
      </w:tabs>
    </w:pPr>
    <w:rPr>
      <w:bCs w:val="0"/>
    </w:rPr>
  </w:style>
  <w:style w:type="paragraph" w:customStyle="1" w:styleId="207">
    <w:name w:val="样式4"/>
    <w:basedOn w:val="8"/>
    <w:qFormat/>
    <w:uiPriority w:val="0"/>
    <w:pPr>
      <w:widowControl/>
      <w:numPr>
        <w:ilvl w:val="3"/>
        <w:numId w:val="15"/>
      </w:numPr>
      <w:tabs>
        <w:tab w:val="left" w:pos="425"/>
      </w:tabs>
      <w:spacing w:beforeLines="50" w:afterLines="50" w:line="240" w:lineRule="auto"/>
      <w:jc w:val="left"/>
    </w:pPr>
    <w:rPr>
      <w:rFonts w:ascii="Arial" w:eastAsia="宋体"/>
      <w:b w:val="0"/>
      <w:kern w:val="0"/>
      <w:szCs w:val="21"/>
    </w:rPr>
  </w:style>
  <w:style w:type="paragraph" w:customStyle="1" w:styleId="208">
    <w:name w:val="样式"/>
    <w:basedOn w:val="186"/>
    <w:qFormat/>
    <w:uiPriority w:val="0"/>
    <w:rPr>
      <w:kern w:val="0"/>
    </w:rPr>
  </w:style>
  <w:style w:type="paragraph" w:customStyle="1" w:styleId="209">
    <w:name w:val="样式 样式 首行缩进:  2 字符 Char + 黑色 Char"/>
    <w:basedOn w:val="186"/>
    <w:uiPriority w:val="0"/>
    <w:pPr>
      <w:spacing w:line="360" w:lineRule="auto"/>
      <w:ind w:firstLine="560"/>
    </w:pPr>
    <w:rPr>
      <w:rFonts w:ascii="Times New Roman"/>
      <w:color w:val="000000"/>
      <w:szCs w:val="21"/>
    </w:rPr>
  </w:style>
  <w:style w:type="paragraph" w:customStyle="1" w:styleId="210">
    <w:name w:val="样式 样式 首行缩进:  2 字符 Char + 桔黄"/>
    <w:basedOn w:val="186"/>
    <w:uiPriority w:val="0"/>
    <w:pPr>
      <w:spacing w:line="400" w:lineRule="exact"/>
      <w:ind w:firstLine="480"/>
    </w:pPr>
    <w:rPr>
      <w:color w:val="000000"/>
      <w:kern w:val="0"/>
    </w:rPr>
  </w:style>
  <w:style w:type="paragraph" w:customStyle="1" w:styleId="211">
    <w:name w:val="样式 样式 样式 首行缩进:  2 字符 Char + 黑色 + Times New Roman 五号"/>
    <w:basedOn w:val="209"/>
    <w:qFormat/>
    <w:uiPriority w:val="0"/>
    <w:rPr>
      <w:rFonts w:hAnsi="Times New Roman"/>
    </w:rPr>
  </w:style>
  <w:style w:type="paragraph" w:customStyle="1" w:styleId="212">
    <w:name w:val="样式 正文缩进正文（首行缩进两字）表正文正文非缩进特点段1四号正文不缩进特点 CharALT+Z水上软件正..."/>
    <w:basedOn w:val="6"/>
    <w:qFormat/>
    <w:uiPriority w:val="0"/>
    <w:pPr>
      <w:ind w:firstLine="0" w:firstLineChars="0"/>
    </w:pPr>
    <w:rPr>
      <w:rFonts w:cs="宋体"/>
      <w:color w:val="000000"/>
      <w:szCs w:val="21"/>
      <w:shd w:val="pct10" w:color="auto" w:fill="FFFFFF"/>
    </w:rPr>
  </w:style>
  <w:style w:type="paragraph" w:customStyle="1" w:styleId="213">
    <w:name w:val="样式 标题 4H44l3sect 1.2.3.4Ref Heading 1rh1sect 1.2.3.41Ref...1"/>
    <w:basedOn w:val="8"/>
    <w:uiPriority w:val="0"/>
    <w:pPr>
      <w:widowControl/>
      <w:numPr>
        <w:ilvl w:val="3"/>
        <w:numId w:val="16"/>
      </w:numPr>
      <w:tabs>
        <w:tab w:val="left" w:pos="425"/>
      </w:tabs>
      <w:spacing w:beforeLines="50" w:afterLines="50" w:line="240" w:lineRule="auto"/>
      <w:jc w:val="left"/>
    </w:pPr>
    <w:rPr>
      <w:rFonts w:ascii="Arial" w:eastAsia="宋体"/>
      <w:b w:val="0"/>
      <w:bCs w:val="0"/>
      <w:color w:val="000000"/>
      <w:kern w:val="0"/>
      <w:szCs w:val="21"/>
    </w:rPr>
  </w:style>
  <w:style w:type="paragraph" w:customStyle="1" w:styleId="214">
    <w:name w:val="6"/>
    <w:basedOn w:val="1"/>
    <w:next w:val="24"/>
    <w:qFormat/>
    <w:uiPriority w:val="0"/>
    <w:pPr>
      <w:widowControl w:val="0"/>
      <w:spacing w:after="120"/>
      <w:ind w:left="420" w:leftChars="200"/>
      <w:jc w:val="both"/>
    </w:pPr>
    <w:rPr>
      <w:rFonts w:ascii="Times New Roman" w:hAnsi="Times New Roman" w:cs="Times New Roman"/>
      <w:kern w:val="2"/>
      <w:sz w:val="21"/>
    </w:rPr>
  </w:style>
  <w:style w:type="paragraph" w:customStyle="1" w:styleId="215">
    <w:name w:val="样式 样式 样式 首行缩进:  2 字符 Char + 桔黄 + 首行缩进:  0.74 厘米"/>
    <w:basedOn w:val="210"/>
    <w:qFormat/>
    <w:uiPriority w:val="0"/>
    <w:pPr>
      <w:ind w:firstLine="420"/>
    </w:pPr>
    <w:rPr>
      <w:szCs w:val="20"/>
    </w:rPr>
  </w:style>
  <w:style w:type="paragraph" w:customStyle="1" w:styleId="216">
    <w:name w:val="样式 样式 一级条标题 + (中文) 楷体_GB2312 四号 + (中文) 楷体_GB2312 四号 加粗"/>
    <w:basedOn w:val="189"/>
    <w:qFormat/>
    <w:uiPriority w:val="0"/>
    <w:rPr>
      <w:bCs/>
    </w:rPr>
  </w:style>
  <w:style w:type="paragraph" w:customStyle="1" w:styleId="217">
    <w:name w:val="样式 样式 一级条标题 + (中文) 楷体_GB2312 四号 + (中文) 楷体_GB2312 四号 加粗1"/>
    <w:basedOn w:val="189"/>
    <w:next w:val="216"/>
    <w:uiPriority w:val="0"/>
    <w:rPr>
      <w:rFonts w:eastAsia="楷体_GB2312"/>
      <w:b/>
      <w:bCs/>
      <w:sz w:val="28"/>
    </w:rPr>
  </w:style>
  <w:style w:type="paragraph" w:customStyle="1" w:styleId="218">
    <w:name w:val="2"/>
    <w:basedOn w:val="1"/>
    <w:next w:val="6"/>
    <w:qFormat/>
    <w:uiPriority w:val="0"/>
    <w:pPr>
      <w:widowControl w:val="0"/>
      <w:adjustRightInd w:val="0"/>
      <w:snapToGrid w:val="0"/>
      <w:spacing w:after="120" w:line="400" w:lineRule="atLeast"/>
      <w:ind w:firstLine="425"/>
      <w:jc w:val="both"/>
      <w:textAlignment w:val="baseline"/>
    </w:pPr>
    <w:rPr>
      <w:rFonts w:ascii="楷体" w:hAnsi="Times New Roman" w:eastAsia="楷体" w:cs="Times New Roman"/>
      <w:kern w:val="18"/>
      <w:szCs w:val="20"/>
    </w:rPr>
  </w:style>
  <w:style w:type="paragraph" w:customStyle="1" w:styleId="219">
    <w:name w:val="图表"/>
    <w:basedOn w:val="1"/>
    <w:uiPriority w:val="0"/>
    <w:pPr>
      <w:widowControl w:val="0"/>
      <w:jc w:val="center"/>
    </w:pPr>
    <w:rPr>
      <w:rFonts w:ascii="Times New Roman" w:hAnsi="Times New Roman" w:cs="Times New Roman"/>
      <w:kern w:val="2"/>
      <w:sz w:val="21"/>
      <w:szCs w:val="20"/>
    </w:rPr>
  </w:style>
  <w:style w:type="paragraph" w:customStyle="1" w:styleId="220">
    <w:name w:val="7"/>
    <w:basedOn w:val="1"/>
    <w:next w:val="6"/>
    <w:uiPriority w:val="0"/>
    <w:pPr>
      <w:widowControl w:val="0"/>
      <w:ind w:firstLine="420" w:firstLineChars="200"/>
      <w:jc w:val="both"/>
    </w:pPr>
    <w:rPr>
      <w:rFonts w:ascii="Times New Roman" w:hAnsi="Times New Roman" w:cs="Times New Roman"/>
      <w:kern w:val="2"/>
      <w:sz w:val="21"/>
    </w:rPr>
  </w:style>
  <w:style w:type="paragraph" w:customStyle="1" w:styleId="221">
    <w:name w:val="样式 样式 首行缩进:  2 字符 Char + 首行缩进:  2 字符"/>
    <w:basedOn w:val="186"/>
    <w:uiPriority w:val="0"/>
    <w:pPr>
      <w:spacing w:line="400" w:lineRule="exact"/>
      <w:ind w:firstLine="420" w:firstLineChars="200"/>
    </w:pPr>
    <w:rPr>
      <w:szCs w:val="20"/>
    </w:rPr>
  </w:style>
  <w:style w:type="paragraph" w:customStyle="1" w:styleId="222">
    <w:name w:val="样式 样式 首行缩进:  2 字符 Char + 黑色"/>
    <w:basedOn w:val="1"/>
    <w:qFormat/>
    <w:uiPriority w:val="0"/>
    <w:pPr>
      <w:widowControl w:val="0"/>
      <w:spacing w:line="360" w:lineRule="auto"/>
      <w:ind w:firstLine="560"/>
      <w:jc w:val="both"/>
    </w:pPr>
    <w:rPr>
      <w:bCs/>
      <w:color w:val="000000"/>
      <w:kern w:val="2"/>
      <w:sz w:val="21"/>
      <w:szCs w:val="28"/>
    </w:rPr>
  </w:style>
  <w:style w:type="paragraph" w:customStyle="1" w:styleId="223">
    <w:name w:val="样式 10 磅 左"/>
    <w:basedOn w:val="1"/>
    <w:qFormat/>
    <w:uiPriority w:val="0"/>
    <w:pPr>
      <w:widowControl w:val="0"/>
      <w:jc w:val="both"/>
    </w:pPr>
    <w:rPr>
      <w:rFonts w:ascii="Times New Roman" w:hAnsi="Times New Roman"/>
      <w:kern w:val="2"/>
      <w:sz w:val="20"/>
      <w:szCs w:val="20"/>
    </w:rPr>
  </w:style>
  <w:style w:type="paragraph" w:customStyle="1" w:styleId="224">
    <w:name w:val="样式6"/>
    <w:basedOn w:val="82"/>
    <w:qFormat/>
    <w:uiPriority w:val="0"/>
    <w:pPr>
      <w:numPr>
        <w:ilvl w:val="4"/>
        <w:numId w:val="17"/>
      </w:numPr>
      <w:tabs>
        <w:tab w:val="left" w:pos="425"/>
      </w:tabs>
      <w:spacing w:before="156" w:after="156" w:line="360" w:lineRule="auto"/>
      <w:ind w:left="0" w:firstLine="0"/>
    </w:pPr>
  </w:style>
  <w:style w:type="paragraph" w:customStyle="1" w:styleId="225">
    <w:name w:val="样式 样式 章标题 + Times New Roman 段前: 0.5 行 段后: 0.5 行 +"/>
    <w:basedOn w:val="1"/>
    <w:qFormat/>
    <w:uiPriority w:val="0"/>
    <w:pPr>
      <w:widowControl w:val="0"/>
      <w:jc w:val="both"/>
    </w:pPr>
    <w:rPr>
      <w:rFonts w:ascii="Times New Roman" w:hAnsi="Times New Roman" w:cs="Times New Roman"/>
      <w:kern w:val="2"/>
      <w:sz w:val="21"/>
    </w:rPr>
  </w:style>
  <w:style w:type="paragraph" w:customStyle="1" w:styleId="226">
    <w:name w:val="样式8"/>
    <w:basedOn w:val="82"/>
    <w:qFormat/>
    <w:uiPriority w:val="0"/>
    <w:pPr>
      <w:numPr>
        <w:ilvl w:val="4"/>
        <w:numId w:val="18"/>
      </w:numPr>
      <w:tabs>
        <w:tab w:val="left" w:pos="425"/>
      </w:tabs>
      <w:spacing w:before="156" w:after="156"/>
      <w:ind w:left="0" w:firstLine="0"/>
    </w:pPr>
    <w:rPr>
      <w:szCs w:val="20"/>
    </w:rPr>
  </w:style>
  <w:style w:type="paragraph" w:customStyle="1" w:styleId="227">
    <w:name w:val="样式9"/>
    <w:basedOn w:val="86"/>
    <w:qFormat/>
    <w:uiPriority w:val="0"/>
    <w:pPr>
      <w:numPr>
        <w:numId w:val="0"/>
      </w:numPr>
      <w:spacing w:before="156" w:after="156"/>
    </w:pPr>
    <w:rPr>
      <w:szCs w:val="20"/>
    </w:rPr>
  </w:style>
  <w:style w:type="paragraph" w:customStyle="1" w:styleId="228">
    <w:name w:val="样式10"/>
    <w:basedOn w:val="173"/>
    <w:qFormat/>
    <w:uiPriority w:val="0"/>
    <w:pPr>
      <w:numPr>
        <w:numId w:val="0"/>
      </w:numPr>
      <w:tabs>
        <w:tab w:val="left" w:pos="992"/>
      </w:tabs>
      <w:ind w:left="992" w:hanging="992"/>
    </w:pPr>
  </w:style>
  <w:style w:type="paragraph" w:customStyle="1" w:styleId="229">
    <w:name w:val="Default1"/>
    <w:basedOn w:val="3"/>
    <w:next w:val="3"/>
    <w:uiPriority w:val="0"/>
    <w:rPr>
      <w:rFonts w:ascii="IOAPJP+TimesNewRoman" w:hAnsi="Times New Roman" w:eastAsia="IOAPJP+TimesNewRoman" w:cs="Times New Roman"/>
      <w:color w:val="auto"/>
    </w:rPr>
  </w:style>
  <w:style w:type="paragraph" w:customStyle="1" w:styleId="230">
    <w:name w:val="标题 21"/>
    <w:basedOn w:val="3"/>
    <w:next w:val="3"/>
    <w:link w:val="303"/>
    <w:qFormat/>
    <w:uiPriority w:val="0"/>
    <w:rPr>
      <w:rFonts w:ascii="IOAPJP+TimesNewRoman" w:hAnsi="Times New Roman" w:eastAsia="IOAPJP+TimesNewRoman" w:cs="Times New Roman"/>
      <w:color w:val="auto"/>
    </w:rPr>
  </w:style>
  <w:style w:type="paragraph" w:customStyle="1" w:styleId="231">
    <w:name w:val="center bold"/>
    <w:basedOn w:val="3"/>
    <w:next w:val="3"/>
    <w:qFormat/>
    <w:uiPriority w:val="0"/>
    <w:rPr>
      <w:rFonts w:ascii="IOAPJP+TimesNewRoman" w:hAnsi="Times New Roman" w:eastAsia="IOAPJP+TimesNewRoman" w:cs="IOAPJP+TimesNewRoman"/>
      <w:color w:val="auto"/>
    </w:rPr>
  </w:style>
  <w:style w:type="paragraph" w:customStyle="1" w:styleId="232">
    <w:name w:val="center plain"/>
    <w:basedOn w:val="3"/>
    <w:next w:val="3"/>
    <w:qFormat/>
    <w:uiPriority w:val="0"/>
    <w:rPr>
      <w:rFonts w:ascii="IOAPJP+TimesNewRoman" w:hAnsi="Times New Roman" w:eastAsia="IOAPJP+TimesNewRoman" w:cs="IOAPJP+TimesNewRoman"/>
      <w:color w:val="auto"/>
    </w:rPr>
  </w:style>
  <w:style w:type="paragraph" w:customStyle="1" w:styleId="233">
    <w:name w:val="页眉1"/>
    <w:basedOn w:val="3"/>
    <w:next w:val="3"/>
    <w:qFormat/>
    <w:uiPriority w:val="0"/>
    <w:rPr>
      <w:rFonts w:ascii="IOAPJP+TimesNewRoman" w:hAnsi="Times New Roman" w:eastAsia="IOAPJP+TimesNewRoman" w:cs="IOAPJP+TimesNewRoman"/>
      <w:color w:val="auto"/>
    </w:rPr>
  </w:style>
  <w:style w:type="paragraph" w:customStyle="1" w:styleId="234">
    <w:name w:val="col bullet"/>
    <w:basedOn w:val="3"/>
    <w:next w:val="3"/>
    <w:qFormat/>
    <w:uiPriority w:val="0"/>
    <w:pPr>
      <w:spacing w:before="120"/>
    </w:pPr>
    <w:rPr>
      <w:rFonts w:ascii="IOAPJP+TimesNewRoman" w:hAnsi="Times New Roman" w:eastAsia="IOAPJP+TimesNewRoman" w:cs="IOAPJP+TimesNewRoman"/>
      <w:color w:val="auto"/>
    </w:rPr>
  </w:style>
  <w:style w:type="paragraph" w:customStyle="1" w:styleId="235">
    <w:name w:val="col text"/>
    <w:basedOn w:val="3"/>
    <w:next w:val="3"/>
    <w:qFormat/>
    <w:uiPriority w:val="0"/>
    <w:pPr>
      <w:spacing w:before="80" w:after="80"/>
    </w:pPr>
    <w:rPr>
      <w:rFonts w:ascii="IOAPJP+TimesNewRoman" w:hAnsi="Times New Roman" w:eastAsia="IOAPJP+TimesNewRoman" w:cs="IOAPJP+TimesNewRoman"/>
      <w:color w:val="auto"/>
    </w:rPr>
  </w:style>
  <w:style w:type="paragraph" w:customStyle="1" w:styleId="236">
    <w:name w:val="索引 11"/>
    <w:basedOn w:val="3"/>
    <w:next w:val="3"/>
    <w:uiPriority w:val="0"/>
    <w:rPr>
      <w:rFonts w:ascii="IOAPJP+TimesNewRoman" w:hAnsi="Times New Roman" w:eastAsia="IOAPJP+TimesNewRoman" w:cs="IOAPJP+TimesNewRoman"/>
      <w:color w:val="auto"/>
    </w:rPr>
  </w:style>
  <w:style w:type="paragraph" w:customStyle="1" w:styleId="237">
    <w:name w:val="二级样式"/>
    <w:basedOn w:val="230"/>
    <w:link w:val="307"/>
    <w:uiPriority w:val="0"/>
    <w:pPr>
      <w:outlineLvl w:val="1"/>
    </w:pPr>
    <w:rPr>
      <w:rFonts w:ascii="黑体" w:hAnsi="Wingdings" w:eastAsia="黑体" w:cs="IOBAEE+TimesNewRoman,Bold"/>
      <w:b/>
      <w:color w:val="000000"/>
    </w:rPr>
  </w:style>
  <w:style w:type="paragraph" w:customStyle="1" w:styleId="238">
    <w:name w:val="章标题样式"/>
    <w:basedOn w:val="179"/>
    <w:uiPriority w:val="0"/>
    <w:pPr>
      <w:jc w:val="both"/>
    </w:pPr>
    <w:rPr>
      <w:sz w:val="21"/>
      <w:szCs w:val="21"/>
    </w:rPr>
  </w:style>
  <w:style w:type="paragraph" w:customStyle="1" w:styleId="239">
    <w:name w:val="样式11"/>
    <w:basedOn w:val="1"/>
    <w:qFormat/>
    <w:uiPriority w:val="0"/>
    <w:pPr>
      <w:widowControl w:val="0"/>
      <w:spacing w:line="400" w:lineRule="exact"/>
      <w:ind w:firstLine="420" w:firstLineChars="200"/>
      <w:jc w:val="both"/>
    </w:pPr>
    <w:rPr>
      <w:rFonts w:cs="Sim Sun"/>
      <w:sz w:val="21"/>
      <w:szCs w:val="21"/>
    </w:rPr>
  </w:style>
  <w:style w:type="paragraph" w:customStyle="1" w:styleId="240">
    <w:name w:val="Char Char Char Char Char Char Char Char Char Char Char Char Char Char Char Char"/>
    <w:basedOn w:val="1"/>
    <w:qFormat/>
    <w:uiPriority w:val="0"/>
    <w:pPr>
      <w:widowControl w:val="0"/>
      <w:tabs>
        <w:tab w:val="left" w:pos="360"/>
      </w:tabs>
      <w:jc w:val="both"/>
    </w:pPr>
    <w:rPr>
      <w:rFonts w:ascii="Times New Roman" w:hAnsi="Times New Roman" w:cs="Times New Roman"/>
      <w:kern w:val="2"/>
    </w:rPr>
  </w:style>
  <w:style w:type="paragraph" w:customStyle="1" w:styleId="241">
    <w:name w:val="Char Char Char Char Char Char Char"/>
    <w:basedOn w:val="1"/>
    <w:qFormat/>
    <w:uiPriority w:val="0"/>
    <w:pPr>
      <w:widowControl w:val="0"/>
      <w:tabs>
        <w:tab w:val="left" w:pos="432"/>
      </w:tabs>
      <w:ind w:left="432" w:hanging="432"/>
      <w:jc w:val="both"/>
    </w:pPr>
    <w:rPr>
      <w:rFonts w:ascii="Times New Roman" w:hAnsi="Times New Roman" w:cs="Times New Roman"/>
      <w:kern w:val="2"/>
    </w:rPr>
  </w:style>
  <w:style w:type="paragraph" w:customStyle="1" w:styleId="242">
    <w:name w:val="Char1"/>
    <w:basedOn w:val="1"/>
    <w:qFormat/>
    <w:uiPriority w:val="0"/>
    <w:pPr>
      <w:widowControl w:val="0"/>
      <w:tabs>
        <w:tab w:val="left" w:pos="360"/>
      </w:tabs>
      <w:jc w:val="both"/>
    </w:pPr>
    <w:rPr>
      <w:rFonts w:ascii="Times New Roman" w:hAnsi="Times New Roman" w:cs="Times New Roman"/>
      <w:kern w:val="2"/>
    </w:rPr>
  </w:style>
  <w:style w:type="paragraph" w:customStyle="1" w:styleId="243">
    <w:name w:val="目录标题"/>
    <w:basedOn w:val="4"/>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244">
    <w:name w:val="彩色列表 - 强调文字颜色 11"/>
    <w:basedOn w:val="1"/>
    <w:qFormat/>
    <w:uiPriority w:val="34"/>
    <w:pPr>
      <w:widowControl w:val="0"/>
      <w:ind w:firstLine="420" w:firstLineChars="200"/>
      <w:jc w:val="both"/>
    </w:pPr>
    <w:rPr>
      <w:rFonts w:ascii="Times New Roman" w:hAnsi="Times New Roman" w:cs="Times New Roman"/>
      <w:kern w:val="2"/>
    </w:rPr>
  </w:style>
  <w:style w:type="paragraph" w:customStyle="1" w:styleId="245">
    <w:name w:val="列表段落1"/>
    <w:basedOn w:val="1"/>
    <w:qFormat/>
    <w:uiPriority w:val="34"/>
    <w:pPr>
      <w:widowControl w:val="0"/>
      <w:ind w:firstLine="420" w:firstLineChars="200"/>
      <w:jc w:val="both"/>
    </w:pPr>
    <w:rPr>
      <w:rFonts w:ascii="Calibri" w:hAnsi="Calibri" w:cs="Times New Roman"/>
      <w:kern w:val="2"/>
      <w:sz w:val="21"/>
      <w:szCs w:val="22"/>
    </w:rPr>
  </w:style>
  <w:style w:type="paragraph" w:customStyle="1" w:styleId="246">
    <w:name w:val="正文文本-长安"/>
    <w:qFormat/>
    <w:uiPriority w:val="0"/>
    <w:pPr>
      <w:spacing w:beforeLines="50" w:line="440" w:lineRule="exact"/>
      <w:ind w:firstLine="200" w:firstLineChars="200"/>
    </w:pPr>
    <w:rPr>
      <w:rFonts w:ascii="Times New Roman" w:hAnsi="Times New Roman" w:eastAsia="宋体" w:cs="Times New Roman"/>
      <w:kern w:val="2"/>
      <w:sz w:val="28"/>
      <w:szCs w:val="28"/>
      <w:lang w:val="en-US" w:eastAsia="zh-CN" w:bidi="ar-SA"/>
    </w:rPr>
  </w:style>
  <w:style w:type="paragraph" w:customStyle="1" w:styleId="247">
    <w:name w:val="表格-长安"/>
    <w:qFormat/>
    <w:uiPriority w:val="0"/>
    <w:rPr>
      <w:rFonts w:ascii="Times New Roman" w:hAnsi="Times New Roman" w:eastAsia="宋体" w:cs="Times New Roman"/>
      <w:kern w:val="2"/>
      <w:sz w:val="21"/>
      <w:szCs w:val="22"/>
      <w:lang w:val="en-US" w:eastAsia="zh-CN" w:bidi="ar-SA"/>
    </w:rPr>
  </w:style>
  <w:style w:type="paragraph" w:customStyle="1" w:styleId="248">
    <w:name w:val="卷首语"/>
    <w:basedOn w:val="1"/>
    <w:qFormat/>
    <w:uiPriority w:val="0"/>
    <w:pPr>
      <w:widowControl w:val="0"/>
      <w:ind w:firstLine="440" w:firstLineChars="200"/>
      <w:jc w:val="both"/>
    </w:pPr>
    <w:rPr>
      <w:rFonts w:ascii="Heiti SC Light" w:hAnsi="Times New Roman" w:eastAsia="Heiti SC Light" w:cs="Times New Roman"/>
      <w:b/>
      <w:kern w:val="2"/>
      <w:sz w:val="22"/>
    </w:rPr>
  </w:style>
  <w:style w:type="character" w:customStyle="1" w:styleId="249">
    <w:name w:val="段 Char"/>
    <w:link w:val="42"/>
    <w:qFormat/>
    <w:uiPriority w:val="0"/>
    <w:rPr>
      <w:rFonts w:ascii="宋体"/>
      <w:sz w:val="21"/>
      <w:lang w:val="en-US" w:eastAsia="zh-CN" w:bidi="ar-SA"/>
    </w:rPr>
  </w:style>
  <w:style w:type="character" w:customStyle="1" w:styleId="250">
    <w:name w:val="发布"/>
    <w:uiPriority w:val="0"/>
    <w:rPr>
      <w:rFonts w:ascii="黑体" w:eastAsia="黑体"/>
      <w:spacing w:val="85"/>
      <w:w w:val="100"/>
      <w:position w:val="3"/>
      <w:sz w:val="28"/>
      <w:szCs w:val="28"/>
    </w:rPr>
  </w:style>
  <w:style w:type="character" w:customStyle="1" w:styleId="251">
    <w:name w:val="附录公式 Char"/>
    <w:basedOn w:val="249"/>
    <w:link w:val="120"/>
    <w:qFormat/>
    <w:uiPriority w:val="0"/>
    <w:rPr>
      <w:rFonts w:ascii="宋体"/>
      <w:sz w:val="21"/>
      <w:lang w:val="en-US" w:eastAsia="zh-CN" w:bidi="ar-SA"/>
    </w:rPr>
  </w:style>
  <w:style w:type="character" w:customStyle="1" w:styleId="252">
    <w:name w:val="首示例 Char"/>
    <w:link w:val="145"/>
    <w:qFormat/>
    <w:uiPriority w:val="0"/>
    <w:rPr>
      <w:rFonts w:ascii="宋体" w:hAnsi="宋体"/>
      <w:kern w:val="2"/>
      <w:sz w:val="18"/>
      <w:szCs w:val="18"/>
    </w:rPr>
  </w:style>
  <w:style w:type="character" w:customStyle="1" w:styleId="253">
    <w:name w:val="访问过的超链接1"/>
    <w:qFormat/>
    <w:uiPriority w:val="0"/>
    <w:rPr>
      <w:color w:val="800080"/>
      <w:u w:val="single"/>
    </w:rPr>
  </w:style>
  <w:style w:type="character" w:customStyle="1" w:styleId="254">
    <w:name w:val="批注文字 字符"/>
    <w:link w:val="20"/>
    <w:qFormat/>
    <w:uiPriority w:val="99"/>
    <w:rPr>
      <w:kern w:val="2"/>
      <w:sz w:val="21"/>
      <w:szCs w:val="24"/>
    </w:rPr>
  </w:style>
  <w:style w:type="character" w:customStyle="1" w:styleId="255">
    <w:name w:val="批注主题 字符"/>
    <w:link w:val="55"/>
    <w:qFormat/>
    <w:uiPriority w:val="0"/>
    <w:rPr>
      <w:b/>
      <w:bCs/>
      <w:kern w:val="2"/>
      <w:sz w:val="21"/>
      <w:szCs w:val="24"/>
    </w:rPr>
  </w:style>
  <w:style w:type="character" w:customStyle="1" w:styleId="256">
    <w:name w:val="二级条标题 Char"/>
    <w:link w:val="77"/>
    <w:qFormat/>
    <w:uiPriority w:val="0"/>
    <w:rPr>
      <w:rFonts w:ascii="黑体" w:eastAsia="黑体"/>
      <w:sz w:val="21"/>
      <w:szCs w:val="21"/>
    </w:rPr>
  </w:style>
  <w:style w:type="character" w:customStyle="1" w:styleId="257">
    <w:name w:val="段 Char Char"/>
    <w:qFormat/>
    <w:uiPriority w:val="0"/>
    <w:rPr>
      <w:rFonts w:ascii="宋体"/>
      <w:sz w:val="21"/>
      <w:lang w:val="en-US" w:eastAsia="zh-CN" w:bidi="ar-SA"/>
    </w:rPr>
  </w:style>
  <w:style w:type="character" w:customStyle="1" w:styleId="258">
    <w:name w:val="标题 1 字符"/>
    <w:link w:val="4"/>
    <w:qFormat/>
    <w:uiPriority w:val="0"/>
    <w:rPr>
      <w:b/>
      <w:bCs/>
      <w:kern w:val="44"/>
      <w:sz w:val="44"/>
      <w:szCs w:val="44"/>
    </w:rPr>
  </w:style>
  <w:style w:type="character" w:customStyle="1" w:styleId="259">
    <w:name w:val="章标题 Char"/>
    <w:qFormat/>
    <w:uiPriority w:val="0"/>
    <w:rPr>
      <w:rFonts w:ascii="黑体" w:eastAsia="黑体"/>
      <w:sz w:val="21"/>
      <w:lang w:val="en-US" w:eastAsia="zh-CN" w:bidi="ar-SA"/>
    </w:rPr>
  </w:style>
  <w:style w:type="character" w:customStyle="1" w:styleId="260">
    <w:name w:val="标题 2 字符"/>
    <w:link w:val="5"/>
    <w:uiPriority w:val="0"/>
    <w:rPr>
      <w:rFonts w:ascii="Arial" w:hAnsi="Arial" w:eastAsia="黑体" w:cs="Arial"/>
      <w:b/>
      <w:bCs/>
      <w:kern w:val="2"/>
      <w:sz w:val="24"/>
      <w:szCs w:val="32"/>
    </w:rPr>
  </w:style>
  <w:style w:type="character" w:customStyle="1" w:styleId="261">
    <w:name w:val="标题 3 字符"/>
    <w:link w:val="7"/>
    <w:qFormat/>
    <w:uiPriority w:val="0"/>
    <w:rPr>
      <w:b/>
      <w:bCs/>
      <w:kern w:val="2"/>
      <w:sz w:val="21"/>
      <w:szCs w:val="32"/>
    </w:rPr>
  </w:style>
  <w:style w:type="character" w:customStyle="1" w:styleId="262">
    <w:name w:val="标题 4 字符"/>
    <w:link w:val="8"/>
    <w:qFormat/>
    <w:uiPriority w:val="0"/>
    <w:rPr>
      <w:rFonts w:ascii="黑体" w:hAnsi="Arial" w:eastAsia="黑体"/>
      <w:b/>
      <w:bCs/>
      <w:kern w:val="2"/>
      <w:sz w:val="21"/>
      <w:szCs w:val="28"/>
    </w:rPr>
  </w:style>
  <w:style w:type="character" w:customStyle="1" w:styleId="263">
    <w:name w:val="标题 5 字符"/>
    <w:link w:val="9"/>
    <w:qFormat/>
    <w:uiPriority w:val="0"/>
    <w:rPr>
      <w:b/>
      <w:bCs/>
      <w:kern w:val="2"/>
      <w:sz w:val="28"/>
      <w:szCs w:val="28"/>
    </w:rPr>
  </w:style>
  <w:style w:type="character" w:customStyle="1" w:styleId="264">
    <w:name w:val="标题 6 字符"/>
    <w:link w:val="10"/>
    <w:qFormat/>
    <w:uiPriority w:val="0"/>
    <w:rPr>
      <w:rFonts w:ascii="Arial" w:hAnsi="Arial" w:eastAsia="黑体"/>
      <w:b/>
      <w:bCs/>
      <w:kern w:val="2"/>
      <w:sz w:val="24"/>
      <w:szCs w:val="24"/>
    </w:rPr>
  </w:style>
  <w:style w:type="character" w:customStyle="1" w:styleId="265">
    <w:name w:val="标题 7 字符"/>
    <w:link w:val="11"/>
    <w:qFormat/>
    <w:uiPriority w:val="0"/>
    <w:rPr>
      <w:b/>
      <w:bCs/>
      <w:kern w:val="2"/>
      <w:sz w:val="24"/>
      <w:szCs w:val="24"/>
    </w:rPr>
  </w:style>
  <w:style w:type="character" w:customStyle="1" w:styleId="266">
    <w:name w:val="标题 8 字符"/>
    <w:link w:val="12"/>
    <w:uiPriority w:val="0"/>
    <w:rPr>
      <w:rFonts w:ascii="Arial" w:hAnsi="Arial" w:eastAsia="黑体"/>
      <w:kern w:val="2"/>
      <w:sz w:val="24"/>
      <w:szCs w:val="24"/>
    </w:rPr>
  </w:style>
  <w:style w:type="character" w:customStyle="1" w:styleId="267">
    <w:name w:val="标题 9 字符"/>
    <w:link w:val="13"/>
    <w:qFormat/>
    <w:uiPriority w:val="0"/>
    <w:rPr>
      <w:rFonts w:ascii="Arial" w:hAnsi="Arial" w:eastAsia="黑体"/>
      <w:kern w:val="2"/>
      <w:sz w:val="21"/>
      <w:szCs w:val="21"/>
    </w:rPr>
  </w:style>
  <w:style w:type="character" w:customStyle="1" w:styleId="268">
    <w:name w:val="标题 字符"/>
    <w:link w:val="54"/>
    <w:qFormat/>
    <w:uiPriority w:val="0"/>
    <w:rPr>
      <w:rFonts w:ascii="Arial" w:hAnsi="Arial" w:cs="Arial"/>
      <w:b/>
      <w:bCs/>
      <w:kern w:val="2"/>
      <w:sz w:val="32"/>
      <w:szCs w:val="32"/>
    </w:rPr>
  </w:style>
  <w:style w:type="character" w:customStyle="1" w:styleId="269">
    <w:name w:val="HTML 地址 字符"/>
    <w:link w:val="25"/>
    <w:qFormat/>
    <w:uiPriority w:val="0"/>
    <w:rPr>
      <w:i/>
      <w:iCs/>
      <w:kern w:val="2"/>
      <w:sz w:val="21"/>
      <w:szCs w:val="24"/>
    </w:rPr>
  </w:style>
  <w:style w:type="character" w:customStyle="1" w:styleId="270">
    <w:name w:val="HTML 预设格式 字符"/>
    <w:link w:val="51"/>
    <w:qFormat/>
    <w:uiPriority w:val="0"/>
    <w:rPr>
      <w:rFonts w:ascii="Courier New" w:hAnsi="Courier New" w:cs="Courier New"/>
      <w:kern w:val="2"/>
    </w:rPr>
  </w:style>
  <w:style w:type="character" w:customStyle="1" w:styleId="271">
    <w:name w:val="个人答复风格"/>
    <w:uiPriority w:val="0"/>
    <w:rPr>
      <w:rFonts w:ascii="Arial" w:hAnsi="Arial" w:eastAsia="宋体" w:cs="Arial"/>
      <w:color w:val="auto"/>
      <w:sz w:val="20"/>
    </w:rPr>
  </w:style>
  <w:style w:type="character" w:customStyle="1" w:styleId="272">
    <w:name w:val="个人撰写风格"/>
    <w:qFormat/>
    <w:uiPriority w:val="0"/>
    <w:rPr>
      <w:rFonts w:ascii="Arial" w:hAnsi="Arial" w:eastAsia="宋体" w:cs="Arial"/>
      <w:color w:val="auto"/>
      <w:sz w:val="20"/>
    </w:rPr>
  </w:style>
  <w:style w:type="character" w:customStyle="1" w:styleId="273">
    <w:name w:val="正文文本 字符"/>
    <w:link w:val="23"/>
    <w:qFormat/>
    <w:uiPriority w:val="0"/>
    <w:rPr>
      <w:rFonts w:ascii="宋体"/>
      <w:kern w:val="2"/>
      <w:sz w:val="24"/>
      <w:szCs w:val="24"/>
    </w:rPr>
  </w:style>
  <w:style w:type="character" w:customStyle="1" w:styleId="274">
    <w:name w:val="正文文本缩进 2 字符"/>
    <w:link w:val="33"/>
    <w:qFormat/>
    <w:uiPriority w:val="0"/>
    <w:rPr>
      <w:kern w:val="2"/>
      <w:sz w:val="21"/>
      <w:szCs w:val="24"/>
    </w:rPr>
  </w:style>
  <w:style w:type="character" w:customStyle="1" w:styleId="275">
    <w:name w:val="正文文本缩进 字符"/>
    <w:link w:val="24"/>
    <w:qFormat/>
    <w:uiPriority w:val="0"/>
    <w:rPr>
      <w:kern w:val="2"/>
      <w:sz w:val="21"/>
      <w:szCs w:val="24"/>
    </w:rPr>
  </w:style>
  <w:style w:type="character" w:customStyle="1" w:styleId="276">
    <w:name w:val="正文文本缩进 3 字符"/>
    <w:link w:val="45"/>
    <w:uiPriority w:val="0"/>
    <w:rPr>
      <w:color w:val="FF0000"/>
      <w:kern w:val="2"/>
      <w:sz w:val="21"/>
      <w:szCs w:val="24"/>
    </w:rPr>
  </w:style>
  <w:style w:type="character" w:customStyle="1" w:styleId="277">
    <w:name w:val="一级条标题 Char"/>
    <w:uiPriority w:val="0"/>
    <w:rPr>
      <w:rFonts w:ascii="黑体" w:eastAsia="宋体"/>
      <w:sz w:val="21"/>
      <w:lang w:val="en-US" w:eastAsia="zh-CN" w:bidi="ar-SA"/>
    </w:rPr>
  </w:style>
  <w:style w:type="character" w:customStyle="1" w:styleId="278">
    <w:name w:val="样式 一级条标题 + (中文) 楷体_GB2312 四号 加粗 Char"/>
    <w:uiPriority w:val="0"/>
    <w:rPr>
      <w:rFonts w:ascii="黑体" w:eastAsia="楷体_GB2312"/>
      <w:b/>
      <w:bCs/>
      <w:sz w:val="21"/>
      <w:lang w:val="en-US" w:eastAsia="zh-CN" w:bidi="ar-SA"/>
    </w:rPr>
  </w:style>
  <w:style w:type="character" w:customStyle="1" w:styleId="279">
    <w:name w:val="样式 一级条标题 + (中文) 楷体_GB2312 四号 Char"/>
    <w:uiPriority w:val="0"/>
    <w:rPr>
      <w:rFonts w:ascii="黑体" w:eastAsia="宋体"/>
      <w:sz w:val="21"/>
      <w:szCs w:val="21"/>
      <w:lang w:val="en-US" w:eastAsia="zh-CN" w:bidi="ar-SA"/>
    </w:rPr>
  </w:style>
  <w:style w:type="character" w:customStyle="1" w:styleId="280">
    <w:name w:val="样式 一级条标题 + (西文) Times New Roman (中文) 楷体_GB2312 四号 加粗 Char"/>
    <w:qFormat/>
    <w:uiPriority w:val="0"/>
    <w:rPr>
      <w:rFonts w:ascii="黑体" w:eastAsia="宋体"/>
      <w:b/>
      <w:bCs/>
      <w:sz w:val="21"/>
      <w:lang w:val="en-US" w:eastAsia="zh-CN" w:bidi="ar-SA"/>
    </w:rPr>
  </w:style>
  <w:style w:type="character" w:customStyle="1" w:styleId="281">
    <w:name w:val="样式 一级条标题 + (中文) 楷体_GB2312 四号 加粗1 Char"/>
    <w:qFormat/>
    <w:uiPriority w:val="0"/>
    <w:rPr>
      <w:rFonts w:ascii="黑体" w:eastAsia="宋体"/>
      <w:b/>
      <w:bCs/>
      <w:sz w:val="21"/>
      <w:lang w:val="en-US" w:eastAsia="zh-CN" w:bidi="ar-SA"/>
    </w:rPr>
  </w:style>
  <w:style w:type="character" w:customStyle="1" w:styleId="282">
    <w:name w:val="样式 一级条标题 + Times New Roman Char"/>
    <w:basedOn w:val="277"/>
    <w:qFormat/>
    <w:uiPriority w:val="0"/>
    <w:rPr>
      <w:rFonts w:ascii="黑体" w:eastAsia="宋体"/>
      <w:sz w:val="21"/>
      <w:lang w:val="en-US" w:eastAsia="zh-CN" w:bidi="ar-SA"/>
    </w:rPr>
  </w:style>
  <w:style w:type="character" w:customStyle="1" w:styleId="283">
    <w:name w:val="样式 (中文) 仿宋_GB2312 小四 加粗"/>
    <w:qFormat/>
    <w:uiPriority w:val="0"/>
    <w:rPr>
      <w:rFonts w:eastAsia="宋体"/>
      <w:bCs/>
      <w:sz w:val="21"/>
    </w:rPr>
  </w:style>
  <w:style w:type="character" w:customStyle="1" w:styleId="284">
    <w:name w:val="样式 首行缩进:  2 字符 Char Char"/>
    <w:uiPriority w:val="0"/>
    <w:rPr>
      <w:rFonts w:eastAsia="宋体" w:cs="宋体"/>
      <w:kern w:val="2"/>
      <w:sz w:val="21"/>
      <w:szCs w:val="21"/>
      <w:lang w:val="en-US" w:eastAsia="zh-CN" w:bidi="ar-SA"/>
    </w:rPr>
  </w:style>
  <w:style w:type="character" w:customStyle="1" w:styleId="285">
    <w:name w:val="样式1 Char"/>
    <w:uiPriority w:val="0"/>
    <w:rPr>
      <w:rFonts w:eastAsia="宋体" w:cs="宋体"/>
      <w:bCs/>
      <w:sz w:val="21"/>
      <w:szCs w:val="21"/>
      <w:lang w:val="en-US" w:eastAsia="zh-CN" w:bidi="ar-SA"/>
    </w:rPr>
  </w:style>
  <w:style w:type="character" w:customStyle="1" w:styleId="286">
    <w:name w:val="样式 Char"/>
    <w:basedOn w:val="284"/>
    <w:uiPriority w:val="0"/>
    <w:rPr>
      <w:rFonts w:eastAsia="宋体" w:cs="宋体"/>
      <w:kern w:val="2"/>
      <w:sz w:val="21"/>
      <w:szCs w:val="21"/>
      <w:lang w:val="en-US" w:eastAsia="zh-CN" w:bidi="ar-SA"/>
    </w:rPr>
  </w:style>
  <w:style w:type="character" w:customStyle="1" w:styleId="287">
    <w:name w:val="样式 首行缩进:  2 字符 Char Char1"/>
    <w:uiPriority w:val="0"/>
    <w:rPr>
      <w:rFonts w:eastAsia="宋体" w:cs="宋体"/>
      <w:kern w:val="2"/>
      <w:sz w:val="21"/>
      <w:szCs w:val="21"/>
      <w:lang w:val="en-US" w:eastAsia="zh-CN" w:bidi="ar-SA"/>
    </w:rPr>
  </w:style>
  <w:style w:type="character" w:customStyle="1" w:styleId="288">
    <w:name w:val="样式 样式 首行缩进:  2 字符 Char + 黑色 Char3"/>
    <w:qFormat/>
    <w:uiPriority w:val="0"/>
    <w:rPr>
      <w:rFonts w:eastAsia="宋体" w:cs="宋体"/>
      <w:color w:val="000000"/>
      <w:kern w:val="2"/>
      <w:sz w:val="21"/>
      <w:szCs w:val="21"/>
      <w:lang w:val="en-US" w:eastAsia="zh-CN" w:bidi="ar-SA"/>
    </w:rPr>
  </w:style>
  <w:style w:type="character" w:customStyle="1" w:styleId="289">
    <w:name w:val="样式 样式 首行缩进:  2 字符 Char + 桔黄 Char"/>
    <w:uiPriority w:val="0"/>
    <w:rPr>
      <w:rFonts w:eastAsia="宋体" w:cs="宋体"/>
      <w:color w:val="FF6600"/>
      <w:kern w:val="2"/>
      <w:sz w:val="21"/>
      <w:szCs w:val="21"/>
      <w:lang w:val="en-US" w:eastAsia="zh-CN" w:bidi="ar-SA"/>
    </w:rPr>
  </w:style>
  <w:style w:type="character" w:customStyle="1" w:styleId="290">
    <w:name w:val="样式 首行缩进:  2 字符 Char Char2"/>
    <w:qFormat/>
    <w:uiPriority w:val="0"/>
    <w:rPr>
      <w:rFonts w:ascii="宋体" w:hAnsi="宋体" w:eastAsia="宋体" w:cs="宋体"/>
      <w:kern w:val="2"/>
      <w:sz w:val="21"/>
      <w:szCs w:val="28"/>
      <w:lang w:val="en-US" w:eastAsia="zh-CN" w:bidi="ar-SA"/>
    </w:rPr>
  </w:style>
  <w:style w:type="character" w:customStyle="1" w:styleId="291">
    <w:name w:val="样式 样式 首行缩进:  2 字符 Char + 黑色 Char1"/>
    <w:uiPriority w:val="0"/>
    <w:rPr>
      <w:rFonts w:ascii="宋体" w:hAnsi="宋体" w:eastAsia="宋体" w:cs="宋体"/>
      <w:color w:val="000000"/>
      <w:kern w:val="2"/>
      <w:sz w:val="21"/>
      <w:szCs w:val="28"/>
      <w:lang w:val="en-US" w:eastAsia="zh-CN" w:bidi="ar-SA"/>
    </w:rPr>
  </w:style>
  <w:style w:type="character" w:customStyle="1" w:styleId="292">
    <w:name w:val="样式 样式 样式 首行缩进:  2 字符 Char + 黑色 + Times New Roman 五号 Char"/>
    <w:basedOn w:val="291"/>
    <w:uiPriority w:val="0"/>
    <w:rPr>
      <w:rFonts w:ascii="宋体" w:hAnsi="宋体" w:eastAsia="宋体" w:cs="宋体"/>
      <w:color w:val="000000"/>
      <w:kern w:val="2"/>
      <w:sz w:val="21"/>
      <w:szCs w:val="28"/>
      <w:lang w:val="en-US" w:eastAsia="zh-CN" w:bidi="ar-SA"/>
    </w:rPr>
  </w:style>
  <w:style w:type="character" w:customStyle="1" w:styleId="293">
    <w:name w:val="日期 字符"/>
    <w:link w:val="32"/>
    <w:qFormat/>
    <w:uiPriority w:val="0"/>
    <w:rPr>
      <w:rFonts w:ascii="Arial" w:hAnsi="Arial"/>
      <w:kern w:val="2"/>
      <w:sz w:val="21"/>
    </w:rPr>
  </w:style>
  <w:style w:type="character" w:customStyle="1" w:styleId="294">
    <w:name w:val="纯文本 字符"/>
    <w:link w:val="29"/>
    <w:qFormat/>
    <w:uiPriority w:val="0"/>
    <w:rPr>
      <w:rFonts w:ascii="宋体" w:hAnsi="Courier New"/>
      <w:kern w:val="2"/>
      <w:sz w:val="21"/>
    </w:rPr>
  </w:style>
  <w:style w:type="character" w:customStyle="1" w:styleId="295">
    <w:name w:val="样式 首行缩进:  2 字符 Char Char3"/>
    <w:qFormat/>
    <w:uiPriority w:val="0"/>
    <w:rPr>
      <w:rFonts w:ascii="宋体" w:hAnsi="宋体" w:eastAsia="宋体" w:cs="宋体"/>
      <w:kern w:val="2"/>
      <w:sz w:val="21"/>
      <w:szCs w:val="28"/>
      <w:lang w:val="en-US" w:eastAsia="zh-CN" w:bidi="ar-SA"/>
    </w:rPr>
  </w:style>
  <w:style w:type="character" w:customStyle="1" w:styleId="296">
    <w:name w:val="样式 样式 首行缩进:  2 字符 Char + 黑色 Char Char"/>
    <w:uiPriority w:val="0"/>
    <w:rPr>
      <w:rFonts w:ascii="宋体" w:hAnsi="宋体" w:eastAsia="宋体" w:cs="宋体"/>
      <w:color w:val="000000"/>
      <w:kern w:val="2"/>
      <w:sz w:val="21"/>
      <w:szCs w:val="28"/>
      <w:lang w:val="en-US" w:eastAsia="zh-CN" w:bidi="ar-SA"/>
    </w:rPr>
  </w:style>
  <w:style w:type="character" w:customStyle="1" w:styleId="297">
    <w:name w:val="样式 样式 首行缩进:  2 字符 Char + 黑色 Char2"/>
    <w:uiPriority w:val="0"/>
    <w:rPr>
      <w:rFonts w:ascii="宋体" w:hAnsi="宋体" w:eastAsia="宋体" w:cs="宋体"/>
      <w:color w:val="000000"/>
      <w:kern w:val="2"/>
      <w:sz w:val="21"/>
      <w:szCs w:val="28"/>
      <w:lang w:val="en-US" w:eastAsia="zh-CN" w:bidi="ar-SA"/>
    </w:rPr>
  </w:style>
  <w:style w:type="character" w:customStyle="1" w:styleId="298">
    <w:name w:val="样式 样式 首行缩进:  2 字符 Char + 桔黄 Char2"/>
    <w:qFormat/>
    <w:uiPriority w:val="0"/>
    <w:rPr>
      <w:rFonts w:ascii="宋体" w:hAnsi="宋体" w:eastAsia="宋体" w:cs="宋体"/>
      <w:color w:val="000000"/>
      <w:kern w:val="2"/>
      <w:sz w:val="21"/>
      <w:szCs w:val="28"/>
      <w:lang w:val="en-US" w:eastAsia="zh-CN" w:bidi="ar-SA"/>
    </w:rPr>
  </w:style>
  <w:style w:type="character" w:customStyle="1" w:styleId="299">
    <w:name w:val="样式 样式 首行缩进:  2 字符 Char + 桔黄 Char1"/>
    <w:qFormat/>
    <w:uiPriority w:val="0"/>
    <w:rPr>
      <w:rFonts w:ascii="宋体" w:hAnsi="宋体" w:eastAsia="宋体" w:cs="宋体"/>
      <w:color w:val="000000"/>
      <w:kern w:val="2"/>
      <w:sz w:val="21"/>
      <w:szCs w:val="28"/>
      <w:lang w:val="en-US" w:eastAsia="zh-CN" w:bidi="ar-SA"/>
    </w:rPr>
  </w:style>
  <w:style w:type="character" w:customStyle="1" w:styleId="300">
    <w:name w:val="正文文本 2 字符"/>
    <w:link w:val="50"/>
    <w:uiPriority w:val="0"/>
    <w:rPr>
      <w:kern w:val="2"/>
      <w:sz w:val="21"/>
      <w:szCs w:val="24"/>
    </w:rPr>
  </w:style>
  <w:style w:type="character" w:customStyle="1" w:styleId="301">
    <w:name w:val="样式 样式 首行缩进:  2 字符 Char + 黑色 Char Char1"/>
    <w:uiPriority w:val="0"/>
    <w:rPr>
      <w:rFonts w:ascii="宋体" w:hAnsi="宋体" w:eastAsia="宋体" w:cs="宋体"/>
      <w:color w:val="000000"/>
      <w:kern w:val="2"/>
      <w:sz w:val="21"/>
      <w:szCs w:val="28"/>
      <w:lang w:val="en-US" w:eastAsia="zh-CN" w:bidi="ar-SA"/>
    </w:rPr>
  </w:style>
  <w:style w:type="character" w:customStyle="1" w:styleId="302">
    <w:name w:val="Default Char"/>
    <w:link w:val="3"/>
    <w:qFormat/>
    <w:uiPriority w:val="0"/>
    <w:rPr>
      <w:rFonts w:ascii="Tahoma" w:hAnsi="Tahoma" w:cs="Tahoma"/>
      <w:color w:val="000000"/>
      <w:sz w:val="24"/>
      <w:szCs w:val="24"/>
    </w:rPr>
  </w:style>
  <w:style w:type="character" w:customStyle="1" w:styleId="303">
    <w:name w:val="Heading 2 Char"/>
    <w:link w:val="230"/>
    <w:qFormat/>
    <w:uiPriority w:val="0"/>
    <w:rPr>
      <w:rFonts w:ascii="IOAPJP+TimesNewRoman" w:eastAsia="IOAPJP+TimesNewRoman"/>
      <w:sz w:val="24"/>
      <w:szCs w:val="24"/>
    </w:rPr>
  </w:style>
  <w:style w:type="character" w:customStyle="1" w:styleId="304">
    <w:name w:val="宏文本 字符"/>
    <w:link w:val="2"/>
    <w:qFormat/>
    <w:uiPriority w:val="0"/>
    <w:rPr>
      <w:rFonts w:ascii="IOAPJP+TimesNewRoman" w:eastAsia="IOAPJP+TimesNewRoman" w:cs="IOAPJP+TimesNewRoman"/>
      <w:sz w:val="24"/>
      <w:szCs w:val="24"/>
    </w:rPr>
  </w:style>
  <w:style w:type="character" w:customStyle="1" w:styleId="305">
    <w:name w:val="注释标题 字符"/>
    <w:link w:val="15"/>
    <w:qFormat/>
    <w:uiPriority w:val="0"/>
    <w:rPr>
      <w:rFonts w:ascii="IOAPJP+TimesNewRoman" w:eastAsia="IOAPJP+TimesNewRoman" w:cs="IOAPJP+TimesNewRoman"/>
      <w:sz w:val="24"/>
      <w:szCs w:val="24"/>
    </w:rPr>
  </w:style>
  <w:style w:type="character" w:customStyle="1" w:styleId="306">
    <w:name w:val="称呼 字符"/>
    <w:link w:val="22"/>
    <w:uiPriority w:val="0"/>
    <w:rPr>
      <w:rFonts w:ascii="IOAPJP+TimesNewRoman" w:eastAsia="IOAPJP+TimesNewRoman" w:cs="IOAPJP+TimesNewRoman"/>
      <w:sz w:val="24"/>
      <w:szCs w:val="24"/>
    </w:rPr>
  </w:style>
  <w:style w:type="character" w:customStyle="1" w:styleId="307">
    <w:name w:val="二级样式 Char"/>
    <w:link w:val="237"/>
    <w:uiPriority w:val="0"/>
    <w:rPr>
      <w:rFonts w:ascii="黑体" w:hAnsi="Wingdings" w:eastAsia="黑体" w:cs="IOBAEE+TimesNewRoman,Bold"/>
      <w:b/>
      <w:color w:val="000000"/>
      <w:sz w:val="24"/>
      <w:szCs w:val="24"/>
    </w:rPr>
  </w:style>
  <w:style w:type="character" w:customStyle="1" w:styleId="308">
    <w:name w:val="标题２"/>
    <w:uiPriority w:val="0"/>
    <w:rPr>
      <w:rFonts w:ascii="华文仿宋" w:hAnsi="华文仿宋" w:eastAsia="黑体"/>
      <w:kern w:val="0"/>
      <w:sz w:val="32"/>
      <w:szCs w:val="28"/>
    </w:rPr>
  </w:style>
  <w:style w:type="character" w:customStyle="1" w:styleId="309">
    <w:name w:val="批注框文本 字符"/>
    <w:link w:val="35"/>
    <w:qFormat/>
    <w:uiPriority w:val="0"/>
    <w:rPr>
      <w:kern w:val="2"/>
      <w:sz w:val="18"/>
      <w:szCs w:val="18"/>
    </w:rPr>
  </w:style>
  <w:style w:type="character" w:customStyle="1" w:styleId="310">
    <w:name w:val="脚注文本 字符"/>
    <w:link w:val="43"/>
    <w:uiPriority w:val="0"/>
    <w:rPr>
      <w:rFonts w:ascii="宋体"/>
      <w:kern w:val="2"/>
      <w:sz w:val="18"/>
      <w:szCs w:val="18"/>
    </w:rPr>
  </w:style>
  <w:style w:type="paragraph" w:customStyle="1" w:styleId="311">
    <w:name w:val="p1"/>
    <w:basedOn w:val="1"/>
    <w:qFormat/>
    <w:uiPriority w:val="0"/>
    <w:rPr>
      <w:rFonts w:ascii=".PingFang SC" w:hAnsi=".PingFang SC"/>
      <w:szCs w:val="21"/>
    </w:rPr>
  </w:style>
  <w:style w:type="paragraph" w:customStyle="1" w:styleId="312">
    <w:name w:val="Revision"/>
    <w:hidden/>
    <w:semiHidden/>
    <w:uiPriority w:val="99"/>
    <w:rPr>
      <w:rFonts w:ascii="宋体" w:hAnsi="宋体" w:eastAsia="宋体" w:cs="宋体"/>
      <w:sz w:val="24"/>
      <w:szCs w:val="24"/>
      <w:lang w:val="en-US" w:eastAsia="zh-CN" w:bidi="ar-SA"/>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microsoft.com/office/2006/relationships/keyMapCustomizations" Target="customizations.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tiff"/><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1238</Words>
  <Characters>7057</Characters>
  <Lines>58</Lines>
  <Paragraphs>16</Paragraphs>
  <TotalTime>0</TotalTime>
  <ScaleCrop>false</ScaleCrop>
  <LinksUpToDate>false</LinksUpToDate>
  <CharactersWithSpaces>8279</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2020-10-22T08:10:00Z</dcterms:created>
  <cp:lastPrinted>2014-08-21T09:04:00Z</cp:lastPrinted>
  <dcterms:modified xsi:type="dcterms:W3CDTF">2020-10-28T02:45:47Z</dcterms:modified>
  <dc:title>中文标题</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